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附件5</w:t>
      </w:r>
    </w:p>
    <w:p>
      <w:pPr>
        <w:widowControl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2017年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10月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常德市食品药品监督管理局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食品安全监督抽检不定期环节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合格产品名单</w:t>
      </w:r>
    </w:p>
    <w:tbl>
      <w:tblPr>
        <w:tblStyle w:val="3"/>
        <w:tblpPr w:leftFromText="180" w:rightFromText="180" w:vertAnchor="text" w:horzAnchor="page" w:tblpX="640" w:tblpY="538"/>
        <w:tblOverlap w:val="never"/>
        <w:tblW w:w="15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1185"/>
        <w:gridCol w:w="1005"/>
        <w:gridCol w:w="1050"/>
        <w:gridCol w:w="1080"/>
        <w:gridCol w:w="1110"/>
        <w:gridCol w:w="1125"/>
        <w:gridCol w:w="1035"/>
        <w:gridCol w:w="1050"/>
        <w:gridCol w:w="1400"/>
        <w:gridCol w:w="730"/>
        <w:gridCol w:w="975"/>
        <w:gridCol w:w="1065"/>
        <w:gridCol w:w="111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生产日期批号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检验单位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豆沙馒头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湖南文理学院三食堂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常德市武陵区白马湖街道长家山社区洞庭大道</w:t>
            </w:r>
            <w:r>
              <w:rPr>
                <w:rStyle w:val="5"/>
                <w:lang w:val="en-US" w:eastAsia="zh-CN" w:bidi="ar"/>
              </w:rPr>
              <w:t>3150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加工日期</w:t>
            </w:r>
            <w:r>
              <w:rPr>
                <w:rStyle w:val="5"/>
                <w:lang w:val="en-US" w:eastAsia="zh-CN" w:bidi="ar"/>
              </w:rPr>
              <w:t>2017/11/6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环己基氨基磺酸钠（甜蜜素）（以环己基氨基磺酸计）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未检出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（＜</w:t>
            </w:r>
            <w:r>
              <w:rPr>
                <w:rStyle w:val="5"/>
                <w:lang w:val="en-US" w:eastAsia="zh-CN" w:bidi="ar"/>
              </w:rPr>
              <w:t>0.01</w:t>
            </w:r>
            <w:r>
              <w:rPr>
                <w:rStyle w:val="4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L1711CB002</w:t>
            </w:r>
          </w:p>
        </w:tc>
      </w:tr>
    </w:tbl>
    <w:p>
      <w:pPr>
        <w:widowControl/>
        <w:jc w:val="both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176B48"/>
    <w:rsid w:val="02AE3C5A"/>
    <w:rsid w:val="61F70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2"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2017-11-20T07:17:20Z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