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各成员单位“双随机、一公开”抽查工作统计表</w:t>
      </w:r>
      <w:bookmarkEnd w:id="0"/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                                                                                                   统计时间：2023.7.6</w:t>
      </w:r>
    </w:p>
    <w:tbl>
      <w:tblPr>
        <w:tblStyle w:val="2"/>
        <w:tblW w:w="14442" w:type="dxa"/>
        <w:tblInd w:w="-1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1050"/>
        <w:gridCol w:w="1050"/>
        <w:gridCol w:w="1325"/>
        <w:gridCol w:w="930"/>
        <w:gridCol w:w="895"/>
        <w:gridCol w:w="1050"/>
        <w:gridCol w:w="1050"/>
        <w:gridCol w:w="1050"/>
        <w:gridCol w:w="1475"/>
        <w:gridCol w:w="1395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对象库数据量(条)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检查执法人员数（人）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制定或接收的抽查任务数（项）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已启动的任务数（项）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已完成的任务数（项）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lang w:val="en-US" w:eastAsia="zh-CN" w:bidi="ar"/>
              </w:rPr>
              <w:t>部门联合数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lang w:val="en-US" w:eastAsia="zh-CN" w:bidi="ar"/>
              </w:rPr>
              <w:t>联合任务占比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应检查的对象数（个）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已录入检查结果的对象数（个）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已公示检查结果的对象数（个）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公示率(%)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常德市发改委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常德市教育局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4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常德市公安局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常德市民政局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常德市人社局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常德市自然资源和规划局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4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常德市生态环境局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57.14%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常德市住房和城乡建设局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10.53%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23.91%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常德市交通局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8.57%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常德市水利局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14.29%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4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常德市农业农村局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14.29%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52.21%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常德市商务局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83.33%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常德市文旅广体局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常德市卫生健康委员会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4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常德市应急管理局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常德海关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常德市税务局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常德市市场监督管理局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27.78%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4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常德市统计局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常德市林业局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28.57%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常德市人民政府金融工作办公室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33.33%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常德市人防办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4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常德市消防救援支队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2757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20.59%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27.26%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FF941"/>
    <w:rsid w:val="57EFF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2023-08-16T16:31:00Z</dcterms:created>
  <dc:creator>greatwall</dc:creator>
  <cp:lastModifiedBy>greatwall</cp:lastModifiedBy>
  <dcterms:modified xsi:type="dcterms:W3CDTF">2023-08-16T16:32:24Z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