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各成员单位“双随机、一公开”抽查工作统计表</w:t>
      </w:r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                                                    统计时间：2023.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12</w:t>
      </w:r>
    </w:p>
    <w:tbl>
      <w:tblPr>
        <w:tblStyle w:val="2"/>
        <w:tblW w:w="14442" w:type="dxa"/>
        <w:tblInd w:w="-1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050"/>
        <w:gridCol w:w="1050"/>
        <w:gridCol w:w="1325"/>
        <w:gridCol w:w="930"/>
        <w:gridCol w:w="895"/>
        <w:gridCol w:w="1050"/>
        <w:gridCol w:w="1050"/>
        <w:gridCol w:w="1050"/>
        <w:gridCol w:w="1475"/>
        <w:gridCol w:w="139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对象库数据量(条)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检查执法人员数（人）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制定或接收的抽查任务数（项）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已启动的任务数（项）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已完成的任务数（项）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部门联合数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lang w:val="en-US" w:eastAsia="zh-CN" w:bidi="ar"/>
              </w:rPr>
              <w:t>联合任务占比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应检查的对象数（个）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已录入检查结果的对象数（个）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已公示检查结果的对象数（个）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公示率(%)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常德市发改委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常德市教育局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常德市公安局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常德市民政局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常德市人社局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常德市自然资源和规划局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常德市生态环境局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常德市住房和城乡建设局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常德市交通局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常德市水利局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常德市农业农村局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22.22%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常德市商务局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常德市文旅广体局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55.56%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常德市卫生健康委员会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常德市应急管理局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常德海关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常德市税务局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常德市市场监督管理局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41.67%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常德市统计局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常德市林业局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28.57%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常德市人民政府金融工作办公室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常德市人防办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常德市消防救援支队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40.58%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F4BD7"/>
    <w:rsid w:val="749F4BD7"/>
    <w:rsid w:val="FD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2023-11-06T14:51:00Z</dcterms:created>
  <dc:creator>greatwall</dc:creator>
  <cp:lastModifiedBy>greatwall</cp:lastModifiedBy>
  <dcterms:modified xsi:type="dcterms:W3CDTF">2023-11-06T14:59:15Z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