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化妆品“线上净网线下清源”专项行动监督检查情况统计表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ind w:firstLine="800" w:firstLineChars="25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单位名称（公章）：                               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填报</w:t>
      </w:r>
      <w:r>
        <w:rPr>
          <w:rFonts w:eastAsia="仿宋_GB2312"/>
          <w:bCs/>
          <w:color w:val="000000"/>
          <w:kern w:val="0"/>
          <w:sz w:val="32"/>
          <w:szCs w:val="32"/>
        </w:rPr>
        <w:t>日期：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1350"/>
        <w:gridCol w:w="1395"/>
        <w:gridCol w:w="1230"/>
        <w:gridCol w:w="1635"/>
        <w:gridCol w:w="1455"/>
        <w:gridCol w:w="1785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14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监督检查</w:t>
            </w:r>
          </w:p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企业数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责令整改</w:t>
            </w:r>
          </w:p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企业数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约谈</w:t>
            </w:r>
          </w:p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企业数</w:t>
            </w:r>
          </w:p>
        </w:tc>
        <w:tc>
          <w:tcPr>
            <w:tcW w:w="67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4"/>
              </w:rPr>
              <w:t>案件查处情况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314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4"/>
              </w:rPr>
              <w:t>查处</w:t>
            </w:r>
            <w:r>
              <w:rPr>
                <w:rFonts w:eastAsia="黑体"/>
                <w:bCs/>
                <w:color w:val="000000"/>
                <w:kern w:val="0"/>
                <w:sz w:val="24"/>
              </w:rPr>
              <w:t>案件数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4"/>
              </w:rPr>
              <w:t>罚没款金额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4"/>
              </w:rPr>
              <w:t>“处罚到人”的人数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移送公安</w:t>
            </w:r>
          </w:p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机关案件数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3141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4"/>
              </w:rPr>
              <w:t>化妆品电子商务平台经营者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141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4"/>
              </w:rPr>
              <w:t>平台内化妆品经营者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6FE28"/>
    <w:rsid w:val="77B6F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2021-12-07T13:30:00Z</dcterms:created>
  <dc:creator>greatwall</dc:creator>
  <cp:lastModifiedBy>greatwall</cp:lastModifiedBy>
  <dcterms:modified xsi:type="dcterms:W3CDTF">2021-12-07T13:30:38Z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