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 w:eastAsia="黑体"/>
          <w:sz w:val="32"/>
          <w:szCs w:val="32"/>
          <w:lang w:val="en"/>
        </w:rPr>
      </w:pPr>
      <w:r>
        <w:rPr>
          <w:rFonts w:ascii="Times New Roman" w:hAnsi="Times New Roman" w:eastAsia="黑体"/>
          <w:sz w:val="32"/>
          <w:szCs w:val="32"/>
          <w:lang w:val="en"/>
        </w:rPr>
        <w:t>附件</w:t>
      </w:r>
      <w:r>
        <w:rPr>
          <w:rFonts w:ascii="Times New Roman" w:hAnsi="Times New Roman" w:eastAsia="黑体"/>
          <w:sz w:val="32"/>
          <w:szCs w:val="32"/>
        </w:rPr>
        <w:t>7</w:t>
      </w:r>
    </w:p>
    <w:p>
      <w:pPr>
        <w:spacing w:line="594" w:lineRule="exact"/>
        <w:jc w:val="left"/>
        <w:rPr>
          <w:rFonts w:ascii="黑体" w:hAnsi="黑体" w:eastAsia="黑体" w:cs="黑体"/>
          <w:sz w:val="32"/>
          <w:szCs w:val="32"/>
          <w:lang w:val="en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lang w:val="en"/>
        </w:rPr>
      </w:pPr>
      <w:r>
        <w:rPr>
          <w:rFonts w:ascii="Times New Roman" w:hAnsi="Times New Roman" w:eastAsia="方正小标宋_GBK"/>
          <w:sz w:val="44"/>
          <w:szCs w:val="44"/>
          <w:lang w:val="en"/>
        </w:rPr>
        <w:t>XX</w:t>
      </w:r>
      <w:r>
        <w:rPr>
          <w:rFonts w:hint="eastAsia" w:ascii="Times New Roman" w:hAnsi="Times New Roman" w:eastAsia="方正小标宋_GBK"/>
          <w:sz w:val="44"/>
          <w:szCs w:val="44"/>
          <w:lang w:val="en"/>
        </w:rPr>
        <w:t>区县市</w:t>
      </w:r>
      <w:r>
        <w:rPr>
          <w:rFonts w:ascii="Times New Roman" w:hAnsi="Times New Roman" w:eastAsia="方正小标宋_GBK"/>
          <w:sz w:val="44"/>
          <w:szCs w:val="44"/>
          <w:lang w:val="en"/>
        </w:rPr>
        <w:t>化妆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品“线上净网线下清源”专</w:t>
      </w:r>
      <w:r>
        <w:rPr>
          <w:rFonts w:ascii="Times New Roman" w:hAnsi="Times New Roman" w:eastAsia="方正小标宋_GBK"/>
          <w:sz w:val="44"/>
          <w:szCs w:val="44"/>
          <w:lang w:val="en"/>
        </w:rPr>
        <w:t>项行动行政执法与纪检监察监督贯通协同情况表</w:t>
      </w:r>
    </w:p>
    <w:p>
      <w:pPr>
        <w:spacing w:line="594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"/>
        </w:rPr>
      </w:pP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填报单位（盖章）：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填表时间：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515"/>
        <w:gridCol w:w="1673"/>
        <w:gridCol w:w="1567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移送时间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涉嫌违法</w:t>
            </w:r>
          </w:p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违纪人员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问题线索情况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问题性质</w:t>
            </w:r>
          </w:p>
        </w:tc>
        <w:tc>
          <w:tcPr>
            <w:tcW w:w="3012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4"/>
                <w:lang w:val="en"/>
              </w:rPr>
              <w:t>接收线索纪检监察机关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  <w:tc>
          <w:tcPr>
            <w:tcW w:w="3012" w:type="dxa"/>
            <w:noWrap w:val="0"/>
            <w:vAlign w:val="top"/>
          </w:tcPr>
          <w:p>
            <w:pPr>
              <w:spacing w:line="594" w:lineRule="exact"/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  <w:lang w:val="en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  <w:lang w:val="en"/>
        </w:rPr>
        <w:t>填表说明：</w:t>
      </w:r>
      <w:r>
        <w:rPr>
          <w:rFonts w:ascii="Times New Roman" w:hAnsi="Times New Roman" w:eastAsia="仿宋_GB2312"/>
          <w:sz w:val="24"/>
        </w:rPr>
        <w:t>“问题性质”一栏按照《执法机关和司法机关向纪检监察机关移送问题线索工作办法》第三条，填写“涉嫌违反党纪”、“涉嫌职位违法”、“涉嫌职务犯罪”或“其他”。</w:t>
      </w:r>
    </w:p>
    <w:p>
      <w:pPr>
        <w:spacing w:line="600" w:lineRule="exact"/>
        <w:rPr>
          <w:rFonts w:ascii="Times New Roman" w:hAnsi="Times New Roman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E3F9D7"/>
    <w:rsid w:val="F4E3F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2021-12-07T13:31:00Z</dcterms:created>
  <dc:creator>greatwall</dc:creator>
  <cp:lastModifiedBy>greatwall</cp:lastModifiedBy>
  <dcterms:modified xsi:type="dcterms:W3CDTF">2021-12-07T13:32:08Z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