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sz w:val="32"/>
          <w:szCs w:val="32"/>
        </w:rPr>
      </w:pPr>
      <w:bookmarkStart w:id="0" w:name="_GoBack"/>
      <w:bookmarkEnd w:id="0"/>
      <w:r>
        <w:rPr>
          <w:rFonts w:ascii="黑体" w:hAnsi="黑体" w:eastAsia="黑体"/>
          <w:sz w:val="32"/>
          <w:szCs w:val="32"/>
        </w:rPr>
        <w:t>附件</w:t>
      </w:r>
    </w:p>
    <w:p>
      <w:pPr>
        <w:widowControl/>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常德市市场监管“年关守护（2022）”行动方案</w:t>
      </w:r>
    </w:p>
    <w:p>
      <w:pPr>
        <w:spacing w:line="560" w:lineRule="exact"/>
        <w:jc w:val="center"/>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元旦、春节即将到来，省、市“两会”即将召开，为认真贯彻落实省局和市委、市政府工作部署，做好节日和“两会”期间市场监管工作，切实消除食品、药品、特种设备和重点工业产品安全风险隐患，确保不发生系统性、区域性安全问题，坚决防止安全事故发生，及时妥善应对处置突发事件，守护市场安全，维护市场秩序，确保人民群众在节日期间吃得安心、买得放心、用得舒心，根据省市场监管局《全省市场监管“年关守护（2022）”行动方案》，结合我市实际，决定从2021年12月21日起至2022年2月20日，在全市范围内开展市场监管“年关守护（2022）”行动，特制定本方案。</w:t>
      </w:r>
    </w:p>
    <w:p>
      <w:pPr>
        <w:spacing w:line="560" w:lineRule="exact"/>
        <w:ind w:firstLine="640" w:firstLineChars="200"/>
        <w:rPr>
          <w:rFonts w:ascii="黑体" w:hAnsi="黑体" w:eastAsia="黑体"/>
          <w:sz w:val="32"/>
          <w:szCs w:val="32"/>
        </w:rPr>
      </w:pPr>
      <w:r>
        <w:rPr>
          <w:rFonts w:ascii="黑体" w:hAnsi="黑体" w:eastAsia="黑体"/>
          <w:sz w:val="32"/>
          <w:szCs w:val="32"/>
        </w:rPr>
        <w:t>一、指导思想和总体目标</w:t>
      </w:r>
    </w:p>
    <w:p>
      <w:pPr>
        <w:spacing w:line="560" w:lineRule="exact"/>
        <w:ind w:firstLine="640" w:firstLineChars="200"/>
        <w:rPr>
          <w:rFonts w:ascii="Times New Roman" w:hAnsi="Times New Roman" w:eastAsia="仿宋_GB2312"/>
          <w:sz w:val="32"/>
          <w:szCs w:val="32"/>
        </w:rPr>
      </w:pPr>
      <w:r>
        <w:rPr>
          <w:rStyle w:val="31"/>
          <w:rFonts w:ascii="Times New Roman" w:hAnsi="Times New Roman" w:eastAsia="仿宋_GB2312"/>
          <w:sz w:val="32"/>
          <w:szCs w:val="32"/>
        </w:rPr>
        <w:t>坚持人民至上、生命至上，牢固树立新发展理念，统筹发展和安全，</w:t>
      </w:r>
      <w:r>
        <w:rPr>
          <w:rFonts w:ascii="Times New Roman" w:hAnsi="Times New Roman" w:eastAsia="仿宋_GB2312"/>
          <w:spacing w:val="-4"/>
          <w:sz w:val="32"/>
          <w:szCs w:val="32"/>
        </w:rPr>
        <w:t>以高度的政治自觉、思想自觉和行动自觉，按照“党政同责、一岗双责、齐抓共管、失职追责”、“四个最严”和“三个必须”要求，</w:t>
      </w:r>
      <w:r>
        <w:rPr>
          <w:rFonts w:ascii="Times New Roman" w:hAnsi="Times New Roman" w:eastAsia="仿宋_GB2312"/>
          <w:sz w:val="32"/>
          <w:szCs w:val="32"/>
        </w:rPr>
        <w:t>在岁末年初开展安全隐患排查和市场秩序专项检查，坚决消除安全隐患，规范市场秩序，营造安全、放心、有序的市场环境。</w:t>
      </w:r>
    </w:p>
    <w:p>
      <w:pPr>
        <w:spacing w:line="560" w:lineRule="exact"/>
        <w:ind w:firstLine="640" w:firstLineChars="200"/>
        <w:rPr>
          <w:rFonts w:ascii="黑体" w:hAnsi="黑体" w:eastAsia="黑体"/>
          <w:sz w:val="32"/>
          <w:szCs w:val="32"/>
        </w:rPr>
      </w:pPr>
      <w:r>
        <w:rPr>
          <w:rFonts w:ascii="黑体" w:hAnsi="黑体" w:eastAsia="黑体"/>
          <w:sz w:val="32"/>
          <w:szCs w:val="32"/>
        </w:rPr>
        <w:t>二、工作范围和重点</w:t>
      </w:r>
    </w:p>
    <w:p>
      <w:pPr>
        <w:spacing w:line="56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（一）工作范围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开展食品、药品、特种设备、重点工业产品等安全隐患排查整治和市场监管领域交通问题顽瘴痼疾专项整治；开展节日市场消费者权益保护、价格检查、网络交易监管、打击传销、市场综合执法等专项执法检查。</w:t>
      </w:r>
    </w:p>
    <w:p>
      <w:pPr>
        <w:spacing w:line="56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（二）安全隐患排查整治重点</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食品方面：</w:t>
      </w:r>
      <w:r>
        <w:rPr>
          <w:rFonts w:ascii="Times New Roman" w:hAnsi="Times New Roman" w:eastAsia="仿宋_GB2312"/>
          <w:sz w:val="32"/>
          <w:szCs w:val="32"/>
        </w:rPr>
        <w:t>一是强化冬季疫情防控及冷链食品监管，加强对食品生产经营企业进口冷链食品的追溯管理、核酸检测和预防性消毒，督促市场开办方、食品生产经营者在履行进货查验义务的同时，索取查验消毒单位出具的进口冷链食品已经消毒的证明。二是对人群集中、问题易发、影响面广的重点部位开展抽查，突出学校及周边、农村集贸市场、城乡结合部农贸市场、面向农村的食品批发市场、农村集体聚餐场所、景区车站码头、高速公路服务区、机场等重点场所，突出节日热销食品、“年夜饭”、特色民俗食品、大宗食品和生活必需食品等重点品种，突出集体配餐、中央厨房、总批发总代理、小作坊等重点环节，加强节日市场食品抽检，及时发布消费提示警示。</w:t>
      </w:r>
      <w:r>
        <w:rPr>
          <w:rFonts w:ascii="Times New Roman" w:hAnsi="Times New Roman" w:eastAsia="仿宋_GB2312"/>
          <w:b/>
          <w:sz w:val="32"/>
          <w:szCs w:val="32"/>
        </w:rPr>
        <w:t>（责任科室：食品安全协调科、食品生产安全监督管理科、食品流通监督管理科、食品消费监督管理科、特殊食品安全监督管理科。排第一的为牵头科室，下同）</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药品方面：</w:t>
      </w:r>
      <w:r>
        <w:rPr>
          <w:rFonts w:ascii="Times New Roman" w:hAnsi="Times New Roman" w:eastAsia="仿宋_GB2312"/>
          <w:sz w:val="32"/>
          <w:szCs w:val="32"/>
        </w:rPr>
        <w:t>对药品、医疗器械、化妆品安全重点环节、重点品种和重点对象加强安全隐患排查整治，督促企业落实主体责任；重点加大疫情防控涉药涉械监督检查力度，切实保障疫情防控药械的质量安全；对农村药品安全专项整治开展“回头看”，突出检查城乡结合部和农村地区药店、诊所的药品医疗器械质量及疾控机构、接种单位的疫苗质量。</w:t>
      </w:r>
      <w:r>
        <w:rPr>
          <w:rFonts w:ascii="Times New Roman" w:hAnsi="Times New Roman" w:eastAsia="仿宋_GB2312"/>
          <w:b/>
          <w:sz w:val="32"/>
          <w:szCs w:val="32"/>
        </w:rPr>
        <w:t>（责任科室：药品生产监督管理科、药品流通监督管理科、药品注册管理和科技科、医疗器械监督管理科、化妆品监督管理科）</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特种设备方面：</w:t>
      </w:r>
      <w:r>
        <w:rPr>
          <w:rFonts w:ascii="Times New Roman" w:hAnsi="Times New Roman" w:eastAsia="仿宋_GB2312"/>
          <w:sz w:val="32"/>
          <w:szCs w:val="32"/>
        </w:rPr>
        <w:t>一是结合岁末年初季节特点和本地区特种设备安全风险状况，督促特种设备使用单位切实落实安全主体责任，做好极端气候条件下的安全防范措施，同时认真开展隐患排查；二是结合本地区实际，对学校、幼儿园、医院、车站、机场、商场、体育场馆、展览馆、公园、旅游景区、游乐场所等公众聚集场所和气瓶、大型游乐设施、电站锅炉、压力容器、压力管道、观光电梯等重点设备开展特种设备安全专项监督检查；三是按照工作部署开展城镇燃气管道安全专项整治工作。省特检院常德分院“年关守护”期间及时安排特种设备检验，为安全监管发挥技术支撑作用。</w:t>
      </w:r>
      <w:r>
        <w:rPr>
          <w:rFonts w:ascii="Times New Roman" w:hAnsi="Times New Roman" w:eastAsia="仿宋_GB2312"/>
          <w:b/>
          <w:sz w:val="32"/>
          <w:szCs w:val="32"/>
        </w:rPr>
        <w:t>（责任科室：特种设备安全监察科）</w:t>
      </w:r>
    </w:p>
    <w:p>
      <w:pPr>
        <w:spacing w:line="56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重点工业产品方面：</w:t>
      </w:r>
      <w:r>
        <w:rPr>
          <w:rFonts w:ascii="Times New Roman" w:hAnsi="Times New Roman" w:eastAsia="仿宋_GB2312"/>
          <w:sz w:val="32"/>
          <w:szCs w:val="32"/>
        </w:rPr>
        <w:t>围绕消防安全、民生需求和社会关注，突出生产集中区、大型商场超市、批发市场、专业市场、城乡结合部、农村集贸市场等重点场所，突出烟花爆竹、电取暖器、燃气灶具、电动自行车、电动汽车、消防产品、危险化学品及其包装物、化肥、农膜等质量安全风险高的重点工业产品，重点整治无证生产和超范围生产、产品质量不符合标准要求、不按规定出具合格证等违法行为。</w:t>
      </w:r>
      <w:r>
        <w:rPr>
          <w:rFonts w:ascii="Times New Roman" w:hAnsi="Times New Roman" w:eastAsia="仿宋_GB2312"/>
          <w:b/>
          <w:sz w:val="32"/>
          <w:szCs w:val="32"/>
        </w:rPr>
        <w:t>（责任科室：产品质量安全监督科）</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交通问题顽瘴痼疾方面：</w:t>
      </w:r>
      <w:r>
        <w:rPr>
          <w:rFonts w:ascii="Times New Roman" w:hAnsi="Times New Roman" w:eastAsia="仿宋_GB2312"/>
          <w:sz w:val="32"/>
          <w:szCs w:val="32"/>
        </w:rPr>
        <w:t>继续开展市场监管领域交通问题顽瘴痼疾整治。重点针对道路交通安全运输产品存在的非</w:t>
      </w:r>
      <w:r>
        <w:rPr>
          <w:rFonts w:ascii="Times New Roman" w:hAnsi="Times New Roman" w:eastAsia="仿宋_GB2312"/>
          <w:spacing w:val="-3"/>
          <w:sz w:val="32"/>
          <w:szCs w:val="32"/>
        </w:rPr>
        <w:t>法改装、大吨小标、非法销售二类底盘等问题开展严查严打行动。严厉查处车检机构弄虚作假、检验质量把关不严等违法违规行为。</w:t>
      </w:r>
      <w:r>
        <w:rPr>
          <w:rFonts w:ascii="Times New Roman" w:hAnsi="Times New Roman" w:eastAsia="仿宋_GB2312"/>
          <w:b/>
          <w:sz w:val="32"/>
          <w:szCs w:val="32"/>
        </w:rPr>
        <w:t>（责任科室：认证科、产品质量安全监督科）</w:t>
      </w:r>
    </w:p>
    <w:p>
      <w:pPr>
        <w:spacing w:line="56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（三）专项检查重点</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消费者权益保护方面：</w:t>
      </w:r>
      <w:r>
        <w:rPr>
          <w:rFonts w:ascii="Times New Roman" w:hAnsi="Times New Roman" w:eastAsia="仿宋_GB2312"/>
          <w:sz w:val="32"/>
          <w:szCs w:val="32"/>
        </w:rPr>
        <w:t>充分发挥“12315”市场监管投诉举报平台作用，及时受理和依法处理节日期间消费者投诉举报，切实做好矛盾纠纷排查化解工作，妥善处理群众诉求。</w:t>
      </w:r>
      <w:r>
        <w:rPr>
          <w:rFonts w:ascii="Times New Roman" w:hAnsi="Times New Roman" w:eastAsia="仿宋_GB2312"/>
          <w:b/>
          <w:sz w:val="32"/>
          <w:szCs w:val="32"/>
        </w:rPr>
        <w:t>（责任科室：消费者权益保护科、投诉举报办公室）</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价格检查方面：</w:t>
      </w:r>
      <w:r>
        <w:rPr>
          <w:rFonts w:ascii="Times New Roman" w:hAnsi="Times New Roman" w:eastAsia="仿宋_GB2312"/>
          <w:sz w:val="32"/>
          <w:szCs w:val="32"/>
        </w:rPr>
        <w:t>围绕粮油肉禽蛋菜奶等生活必需品、防疫物资、节日特色消费品，文化旅游、商业零售、网络营销等重点领域，加强市场价格监管。严肃查处不按规定明码标价、捏造散布涨价信息、价格欺诈、串通涨价等违法行为，及时妥善化解价格矛盾纠纷。</w:t>
      </w:r>
      <w:r>
        <w:rPr>
          <w:rFonts w:ascii="Times New Roman" w:hAnsi="Times New Roman" w:eastAsia="仿宋_GB2312"/>
          <w:b/>
          <w:sz w:val="32"/>
          <w:szCs w:val="32"/>
        </w:rPr>
        <w:t>（责任科室：价格监督检查与反不正当竞争科）</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网络交易监管方面：</w:t>
      </w:r>
      <w:r>
        <w:rPr>
          <w:rFonts w:ascii="Times New Roman" w:hAnsi="Times New Roman" w:eastAsia="仿宋_GB2312"/>
          <w:sz w:val="32"/>
          <w:szCs w:val="32"/>
        </w:rPr>
        <w:t>以电子商务平台、大型购物网站为重点，加强网络交易监管，督促电子商务平台落实主体责任，依法规范平台内的经营行为。强化网络直播营销监管，加大对节日期间易发高发的虚假促销、商业混淆、巨奖销售、侵权假冒、刷单炒信、虚假宣传等违法违规行为的监测力度。</w:t>
      </w:r>
      <w:r>
        <w:rPr>
          <w:rFonts w:ascii="Times New Roman" w:hAnsi="Times New Roman" w:eastAsia="仿宋_GB2312"/>
          <w:b/>
          <w:sz w:val="32"/>
          <w:szCs w:val="32"/>
        </w:rPr>
        <w:t>（责任科室：网络交易监督管理科）</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打击传销方面：</w:t>
      </w:r>
      <w:r>
        <w:rPr>
          <w:rFonts w:ascii="Times New Roman" w:hAnsi="Times New Roman" w:eastAsia="仿宋_GB2312"/>
          <w:sz w:val="32"/>
          <w:szCs w:val="32"/>
        </w:rPr>
        <w:t>保持打击传销高压态势，坚决取缔以“资本运作”“连锁销售”等名义实施的聚集式传销违法犯罪活动，切实消除各种不稳定隐患；大力加强网络巡查，会同公安部门严密监控网络传销活动，加强情报收集和线索处置，充分研判网络传销特点和趋势，循线追踪、合力打击，坚决遏制网络传销蔓延势头。</w:t>
      </w:r>
      <w:r>
        <w:rPr>
          <w:rFonts w:ascii="Times New Roman" w:hAnsi="Times New Roman" w:eastAsia="仿宋_GB2312"/>
          <w:b/>
          <w:sz w:val="32"/>
          <w:szCs w:val="32"/>
        </w:rPr>
        <w:t>（责任单位：市综合行政执法支队）</w:t>
      </w:r>
    </w:p>
    <w:p>
      <w:pPr>
        <w:spacing w:line="560" w:lineRule="exact"/>
        <w:ind w:firstLine="642" w:firstLineChars="200"/>
        <w:rPr>
          <w:rFonts w:ascii="Times New Roman" w:hAnsi="Times New Roman" w:eastAsia="仿宋_GB2312"/>
          <w:b/>
          <w:sz w:val="32"/>
          <w:szCs w:val="32"/>
        </w:rPr>
      </w:pPr>
      <w:r>
        <w:rPr>
          <w:rFonts w:ascii="Times New Roman" w:hAnsi="Times New Roman" w:eastAsia="仿宋_GB2312"/>
          <w:b/>
          <w:bCs/>
          <w:sz w:val="32"/>
          <w:szCs w:val="32"/>
        </w:rPr>
        <w:t>市场综合执法方面：</w:t>
      </w:r>
      <w:r>
        <w:rPr>
          <w:rFonts w:ascii="Times New Roman" w:hAnsi="Times New Roman" w:eastAsia="仿宋_GB2312"/>
          <w:sz w:val="32"/>
          <w:szCs w:val="32"/>
        </w:rPr>
        <w:t>持续开展民生领域案件查办“铁拳”、“长江禁捕打非断链”、冷链食品、农村假冒伪劣食品、交通问题顽瘴痼疾等执法行动，严厉打击食品行业“两超一非”违法行为。深入推进特种设备安全、重点工业产品质量安全等专项整治，查处一批大案要案，形成强大震慑。</w:t>
      </w:r>
      <w:r>
        <w:rPr>
          <w:rFonts w:ascii="Times New Roman" w:hAnsi="Times New Roman" w:eastAsia="仿宋_GB2312"/>
          <w:b/>
          <w:sz w:val="32"/>
          <w:szCs w:val="32"/>
        </w:rPr>
        <w:t>（责任单位：市综合行政执法支队）</w:t>
      </w:r>
    </w:p>
    <w:p>
      <w:pPr>
        <w:spacing w:line="560" w:lineRule="exact"/>
        <w:ind w:firstLine="640" w:firstLineChars="200"/>
        <w:rPr>
          <w:rFonts w:ascii="黑体" w:hAnsi="黑体" w:eastAsia="黑体"/>
          <w:sz w:val="32"/>
          <w:szCs w:val="32"/>
        </w:rPr>
      </w:pPr>
      <w:r>
        <w:rPr>
          <w:rFonts w:ascii="黑体" w:hAnsi="黑体" w:eastAsia="黑体"/>
          <w:sz w:val="32"/>
          <w:szCs w:val="32"/>
        </w:rPr>
        <w:t>三、工作要求</w:t>
      </w:r>
    </w:p>
    <w:p>
      <w:pPr>
        <w:spacing w:line="56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（一）提高思想认识，加强组织领导。</w:t>
      </w:r>
      <w:r>
        <w:rPr>
          <w:rFonts w:ascii="Times New Roman" w:hAnsi="Times New Roman" w:eastAsia="仿宋_GB2312"/>
          <w:sz w:val="32"/>
          <w:szCs w:val="32"/>
        </w:rPr>
        <w:t>岁末年初是生产、经营和消费的旺季，人员流动频繁，群众聚会、大型文娱活动增多，容易发生安全事故和不公平市场交易行为。要进一步提高政治站位，深刻认识岁末年初守护市场安全、维护市场秩序的重要性，切实增强抓好食品、药品、特种设备、重点工业产品安全隐患排查整治和维护节日市场稳定有序的紧迫性、责任感。主要领导要亲自挂帅、靠前指挥，班子成员分工负责，全力以赴组织开展好“年关守护（2022）”行动。</w:t>
      </w:r>
    </w:p>
    <w:p>
      <w:pPr>
        <w:spacing w:line="56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（二）突出工作重点，狠抓责任落实。</w:t>
      </w:r>
      <w:r>
        <w:rPr>
          <w:rFonts w:ascii="Times New Roman" w:hAnsi="Times New Roman" w:eastAsia="仿宋_GB2312"/>
          <w:sz w:val="32"/>
          <w:szCs w:val="32"/>
        </w:rPr>
        <w:t>把“年关守护（2022）”行动与正在开展的岁末年初安全生产百日大会战相结合，督促相关生产、经营和使用单位深入开展自查自纠，建立安全风险隐患清单，实施隐患闭环整改，切实落实安全风险隐患排查整治主体责任。要突出岁末年初期间市场生产、经营的重点区域和重点产品，结合安全生产专项整治三年行动开展针对性监督检查。</w:t>
      </w:r>
    </w:p>
    <w:p>
      <w:pPr>
        <w:spacing w:line="56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（三）加大执法力度，严惩违法行为。</w:t>
      </w:r>
      <w:r>
        <w:rPr>
          <w:rFonts w:ascii="Times New Roman" w:hAnsi="Times New Roman" w:eastAsia="仿宋_GB2312"/>
          <w:sz w:val="32"/>
          <w:szCs w:val="32"/>
        </w:rPr>
        <w:t>要牢固树立执法为公、执法为民理念，坚持严格公正规范执法，切实加大监管执法力度，敢于动真碰硬。持续推进民生领域案件查办“铁拳”行动和“打非治违”三年行动，采取“四不两直”的方式明察暗访、突击检查，检查中发现的违法违规行为，发现一起查处一起。通过严格监管执法，彻底治理一批风险隐患，曝光一批价格欺诈、哄抬价格、虚假促销、侵权假冒等典型案例，公布一批联合惩戒“黑名单”。</w:t>
      </w:r>
    </w:p>
    <w:p>
      <w:pPr>
        <w:spacing w:line="56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（四）加强应急值守，妥处突发事件。</w:t>
      </w:r>
      <w:r>
        <w:rPr>
          <w:rFonts w:ascii="Times New Roman" w:hAnsi="Times New Roman" w:eastAsia="仿宋_GB2312"/>
          <w:sz w:val="32"/>
          <w:szCs w:val="32"/>
        </w:rPr>
        <w:t>要进一步加强应急管理和应急值守，严格执行值班和信息报告制度。一旦发生事故或突发事件，要及时妥善应对处理并做好信息上报。要保持“12315”投诉举报热线平台渠道畅通，及时受理和处理消费者的投诉举报，及时疏导化解矛盾纠纷。市局将对各县市区工作开展情况进行督导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“年关守护（2022）”行动结束后，市局牵头科室和各区县（市）市场监管局于2022年2月23日前向特种设备安全监察科报送工作总结，各区县（市）局同时报送情况统计表（见附表）。</w:t>
      </w:r>
    </w:p>
    <w:p>
      <w:pPr>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联系人：李 明，0736-7785390；</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bCs/>
          <w:sz w:val="32"/>
          <w:szCs w:val="32"/>
        </w:rPr>
        <w:t>邮  箱：</w:t>
      </w:r>
      <w:r>
        <w:fldChar w:fldCharType="begin"/>
      </w:r>
      <w:r>
        <w:instrText xml:space="preserve"> HYPERLINK "mailto:cdtak@163.com" </w:instrText>
      </w:r>
      <w:r>
        <w:fldChar w:fldCharType="separate"/>
      </w:r>
      <w:r>
        <w:rPr>
          <w:rStyle w:val="14"/>
          <w:rFonts w:ascii="Times New Roman" w:hAnsi="Times New Roman" w:eastAsia="仿宋_GB2312"/>
          <w:bCs/>
          <w:color w:val="auto"/>
          <w:sz w:val="32"/>
          <w:szCs w:val="32"/>
          <w:u w:val="none"/>
        </w:rPr>
        <w:t>cdtak@163.com</w:t>
      </w:r>
      <w:r>
        <w:rPr>
          <w:rStyle w:val="14"/>
          <w:rFonts w:ascii="Times New Roman" w:hAnsi="Times New Roman" w:eastAsia="仿宋_GB2312"/>
          <w:bCs/>
          <w:color w:val="auto"/>
          <w:sz w:val="32"/>
          <w:szCs w:val="32"/>
          <w:u w:val="none"/>
        </w:rPr>
        <w:fldChar w:fldCharType="end"/>
      </w:r>
      <w:r>
        <w:rPr>
          <w:rFonts w:ascii="Times New Roman" w:hAnsi="Times New Roman" w:eastAsia="仿宋_GB2312"/>
          <w:bCs/>
          <w:sz w:val="32"/>
          <w:szCs w:val="32"/>
        </w:rPr>
        <w:t>。</w:t>
      </w:r>
    </w:p>
    <w:p>
      <w:pPr>
        <w:spacing w:line="560" w:lineRule="exact"/>
        <w:ind w:firstLine="640" w:firstLineChars="200"/>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附表：常德市市场监管“年关守护（</w:t>
      </w:r>
      <w:r>
        <w:rPr>
          <w:rFonts w:ascii="Times New Roman" w:hAnsi="Times New Roman" w:eastAsia="仿宋_GB2312"/>
          <w:sz w:val="32"/>
          <w:szCs w:val="32"/>
        </w:rPr>
        <w:t>2022</w:t>
      </w:r>
      <w:r>
        <w:rPr>
          <w:rFonts w:hint="eastAsia" w:ascii="Times New Roman" w:hAnsi="Times New Roman" w:eastAsia="仿宋_GB2312"/>
          <w:sz w:val="32"/>
          <w:szCs w:val="32"/>
        </w:rPr>
        <w:t>）”行动情况</w:t>
      </w:r>
    </w:p>
    <w:p>
      <w:pPr>
        <w:spacing w:line="56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统计表</w:t>
      </w:r>
    </w:p>
    <w:p>
      <w:pPr>
        <w:spacing w:line="560" w:lineRule="exact"/>
        <w:ind w:firstLine="640" w:firstLineChars="200"/>
        <w:rPr>
          <w:rFonts w:hint="eastAsia" w:ascii="Times New Roman" w:hAnsi="Times New Roman" w:eastAsia="仿宋_GB2312"/>
          <w:sz w:val="32"/>
          <w:szCs w:val="32"/>
        </w:rPr>
      </w:pPr>
    </w:p>
    <w:p>
      <w:pPr>
        <w:spacing w:line="560" w:lineRule="exact"/>
        <w:rPr>
          <w:rFonts w:ascii="Times New Roman" w:hAnsi="Times New Roman" w:eastAsia="仿宋_GB2312"/>
          <w:sz w:val="32"/>
          <w:szCs w:val="32"/>
        </w:rPr>
      </w:pPr>
      <w:r>
        <w:rPr>
          <w:rFonts w:ascii="Times New Roman" w:hAnsi="Times New Roman" w:eastAsia="方正仿宋_GBK"/>
          <w:sz w:val="32"/>
          <w:szCs w:val="32"/>
        </w:rPr>
        <w:br w:type="page"/>
      </w:r>
      <w:r>
        <w:rPr>
          <w:rFonts w:hint="eastAsia" w:ascii="方正黑体_GBK" w:hAnsi="Times New Roman" w:eastAsia="方正黑体_GBK"/>
          <w:sz w:val="32"/>
          <w:szCs w:val="32"/>
        </w:rPr>
        <w:t>附表</w:t>
      </w:r>
    </w:p>
    <w:p>
      <w:pPr>
        <w:spacing w:line="600"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常德市市场监管“年关守护</w:t>
      </w:r>
      <w:r>
        <w:rPr>
          <w:rFonts w:hint="eastAsia" w:ascii="Times New Roman" w:hAnsi="Times New Roman" w:eastAsia="方正小标宋_GBK"/>
          <w:sz w:val="44"/>
          <w:szCs w:val="44"/>
        </w:rPr>
        <w:t>（</w:t>
      </w:r>
      <w:r>
        <w:rPr>
          <w:rFonts w:ascii="Times New Roman" w:hAnsi="Times New Roman" w:eastAsia="方正小标宋_GBK"/>
          <w:sz w:val="44"/>
          <w:szCs w:val="44"/>
        </w:rPr>
        <w:t>2022</w:t>
      </w:r>
      <w:r>
        <w:rPr>
          <w:rFonts w:hint="eastAsia" w:ascii="Times New Roman" w:hAnsi="Times New Roman" w:eastAsia="方正小标宋_GBK"/>
          <w:sz w:val="44"/>
          <w:szCs w:val="44"/>
        </w:rPr>
        <w:t>）</w:t>
      </w:r>
      <w:r>
        <w:rPr>
          <w:rFonts w:hint="eastAsia" w:ascii="方正小标宋_GBK" w:hAnsi="Times New Roman" w:eastAsia="方正小标宋_GBK"/>
          <w:sz w:val="44"/>
          <w:szCs w:val="44"/>
        </w:rPr>
        <w:t>”</w:t>
      </w:r>
    </w:p>
    <w:p>
      <w:pPr>
        <w:spacing w:line="60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行动情况统计表</w:t>
      </w:r>
    </w:p>
    <w:p>
      <w:pPr>
        <w:spacing w:line="300" w:lineRule="exact"/>
        <w:rPr>
          <w:rFonts w:ascii="方正黑体_GBK" w:hAnsi="Times New Roman" w:eastAsia="方正黑体_GBK"/>
          <w:sz w:val="32"/>
          <w:szCs w:val="32"/>
        </w:rPr>
      </w:pPr>
    </w:p>
    <w:p>
      <w:r>
        <w:rPr>
          <w:rFonts w:hint="eastAsia" w:ascii="Times New Roman" w:hAnsi="Times New Roman" w:eastAsia="方正仿宋_GBK"/>
          <w:kern w:val="0"/>
          <w:sz w:val="26"/>
        </w:rPr>
        <w:t>填报单位（盖章）：</w:t>
      </w:r>
      <w:r>
        <w:rPr>
          <w:rFonts w:ascii="Times New Roman" w:hAnsi="Times New Roman" w:eastAsia="方正仿宋_GBK"/>
          <w:kern w:val="0"/>
          <w:sz w:val="26"/>
        </w:rPr>
        <w:t xml:space="preserve">                           </w:t>
      </w:r>
      <w:r>
        <w:rPr>
          <w:rFonts w:hint="eastAsia" w:ascii="Times New Roman" w:hAnsi="Times New Roman" w:eastAsia="方正仿宋_GBK"/>
          <w:kern w:val="0"/>
          <w:sz w:val="26"/>
        </w:rPr>
        <w:t>填报日期：</w:t>
      </w:r>
      <w:r>
        <w:rPr>
          <w:rFonts w:ascii="Times New Roman" w:hAnsi="Times New Roman" w:eastAsia="方正仿宋_GBK"/>
          <w:kern w:val="0"/>
          <w:sz w:val="26"/>
        </w:rPr>
        <w:t xml:space="preserve">    </w:t>
      </w:r>
      <w:r>
        <w:rPr>
          <w:rFonts w:hint="eastAsia" w:ascii="Times New Roman" w:hAnsi="Times New Roman" w:eastAsia="方正仿宋_GBK"/>
          <w:kern w:val="0"/>
          <w:sz w:val="26"/>
        </w:rPr>
        <w:t>年</w:t>
      </w:r>
      <w:r>
        <w:rPr>
          <w:rFonts w:ascii="Times New Roman" w:hAnsi="Times New Roman" w:eastAsia="方正仿宋_GBK"/>
          <w:kern w:val="0"/>
          <w:sz w:val="26"/>
        </w:rPr>
        <w:t xml:space="preserve">    </w:t>
      </w:r>
      <w:r>
        <w:rPr>
          <w:rFonts w:hint="eastAsia" w:ascii="Times New Roman" w:hAnsi="Times New Roman" w:eastAsia="方正仿宋_GBK"/>
          <w:kern w:val="0"/>
          <w:sz w:val="26"/>
        </w:rPr>
        <w:t>月</w:t>
      </w:r>
      <w:r>
        <w:rPr>
          <w:rFonts w:ascii="Times New Roman" w:hAnsi="Times New Roman" w:eastAsia="方正仿宋_GBK"/>
          <w:kern w:val="0"/>
          <w:sz w:val="26"/>
        </w:rPr>
        <w:t xml:space="preserve">   </w:t>
      </w:r>
      <w:r>
        <w:rPr>
          <w:rFonts w:hint="eastAsia" w:ascii="Times New Roman" w:hAnsi="Times New Roman" w:eastAsia="方正仿宋_GBK"/>
          <w:kern w:val="0"/>
          <w:sz w:val="26"/>
        </w:rPr>
        <w:t>日</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593"/>
        <w:gridCol w:w="846"/>
        <w:gridCol w:w="846"/>
        <w:gridCol w:w="846"/>
        <w:gridCol w:w="515"/>
        <w:gridCol w:w="515"/>
        <w:gridCol w:w="846"/>
        <w:gridCol w:w="846"/>
        <w:gridCol w:w="681"/>
        <w:gridCol w:w="846"/>
        <w:gridCol w:w="846"/>
        <w:gridCol w:w="8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2" w:hRule="atLeast"/>
          <w:jc w:val="center"/>
        </w:trPr>
        <w:tc>
          <w:tcPr>
            <w:tcW w:w="1323"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类别</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出动检查人员</w:t>
            </w:r>
          </w:p>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（人、次）</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检查生产、经营、使用单位（家）</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督促整改单位（家）</w:t>
            </w:r>
          </w:p>
        </w:tc>
        <w:tc>
          <w:tcPr>
            <w:tcW w:w="1071"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发现安全隐患数量</w:t>
            </w:r>
          </w:p>
        </w:tc>
        <w:tc>
          <w:tcPr>
            <w:tcW w:w="1071"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安全隐患整改数量</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责令停产停业（家）</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立案</w:t>
            </w:r>
          </w:p>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数量</w:t>
            </w:r>
          </w:p>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（件）</w:t>
            </w:r>
          </w:p>
        </w:tc>
        <w:tc>
          <w:tcPr>
            <w:tcW w:w="1134"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经济</w:t>
            </w:r>
          </w:p>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处罚</w:t>
            </w:r>
          </w:p>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（万元）</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移送刑事处罚案件（件）</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新闻</w:t>
            </w:r>
          </w:p>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报道</w:t>
            </w:r>
          </w:p>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（篇）</w:t>
            </w:r>
          </w:p>
        </w:tc>
        <w:tc>
          <w:tcPr>
            <w:tcW w:w="1197" w:type="dxa"/>
            <w:tcBorders>
              <w:top w:val="single" w:color="auto" w:sz="8" w:space="0"/>
            </w:tcBorders>
            <w:vAlign w:val="center"/>
          </w:tcPr>
          <w:p>
            <w:pPr>
              <w:spacing w:line="320" w:lineRule="exact"/>
              <w:jc w:val="center"/>
              <w:rPr>
                <w:rFonts w:ascii="方正仿宋_GBK" w:hAnsi="Times New Roman" w:eastAsia="方正仿宋_GBK"/>
                <w:b/>
                <w:szCs w:val="21"/>
              </w:rPr>
            </w:pPr>
            <w:r>
              <w:rPr>
                <w:rFonts w:hint="eastAsia" w:ascii="方正仿宋_GBK" w:hAnsi="Times New Roman" w:eastAsia="方正仿宋_GBK"/>
                <w:b/>
                <w:szCs w:val="21"/>
              </w:rPr>
              <w:t>曝光违法企业（家）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1323" w:type="dxa"/>
            <w:vAlign w:val="center"/>
          </w:tcPr>
          <w:p>
            <w:pPr>
              <w:widowControl/>
              <w:spacing w:line="320" w:lineRule="exact"/>
              <w:jc w:val="center"/>
              <w:textAlignment w:val="center"/>
              <w:rPr>
                <w:rFonts w:ascii="方正仿宋_GBK" w:hAnsi="Times New Roman" w:eastAsia="方正仿宋_GBK"/>
                <w:szCs w:val="21"/>
              </w:rPr>
            </w:pPr>
            <w:r>
              <w:rPr>
                <w:rFonts w:hint="eastAsia" w:ascii="方正仿宋_GBK" w:hAnsi="Times New Roman" w:eastAsia="方正仿宋_GBK"/>
                <w:szCs w:val="21"/>
              </w:rPr>
              <w:t>食品</w:t>
            </w: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34"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1323" w:type="dxa"/>
            <w:vAlign w:val="center"/>
          </w:tcPr>
          <w:p>
            <w:pPr>
              <w:widowControl/>
              <w:spacing w:line="320" w:lineRule="exact"/>
              <w:jc w:val="center"/>
              <w:textAlignment w:val="center"/>
              <w:rPr>
                <w:rFonts w:ascii="方正仿宋_GBK" w:hAnsi="Times New Roman" w:eastAsia="方正仿宋_GBK"/>
                <w:szCs w:val="21"/>
              </w:rPr>
            </w:pPr>
            <w:r>
              <w:rPr>
                <w:rFonts w:hint="eastAsia" w:ascii="方正仿宋_GBK" w:hAnsi="Times New Roman" w:eastAsia="方正仿宋_GBK"/>
                <w:szCs w:val="21"/>
              </w:rPr>
              <w:t>药品</w:t>
            </w: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34"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1323" w:type="dxa"/>
            <w:vAlign w:val="center"/>
          </w:tcPr>
          <w:p>
            <w:pPr>
              <w:widowControl/>
              <w:spacing w:line="320" w:lineRule="exact"/>
              <w:jc w:val="center"/>
              <w:textAlignment w:val="center"/>
              <w:rPr>
                <w:rFonts w:ascii="方正仿宋_GBK" w:hAnsi="Times New Roman" w:eastAsia="方正仿宋_GBK"/>
                <w:szCs w:val="21"/>
              </w:rPr>
            </w:pPr>
            <w:r>
              <w:rPr>
                <w:rFonts w:hint="eastAsia" w:ascii="方正仿宋_GBK" w:hAnsi="Times New Roman" w:eastAsia="方正仿宋_GBK"/>
                <w:szCs w:val="21"/>
              </w:rPr>
              <w:t>特种设备</w:t>
            </w: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34"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3" w:hRule="atLeast"/>
          <w:jc w:val="center"/>
        </w:trPr>
        <w:tc>
          <w:tcPr>
            <w:tcW w:w="1323" w:type="dxa"/>
            <w:vAlign w:val="center"/>
          </w:tcPr>
          <w:p>
            <w:pPr>
              <w:widowControl/>
              <w:spacing w:line="320" w:lineRule="exact"/>
              <w:jc w:val="center"/>
              <w:textAlignment w:val="center"/>
              <w:rPr>
                <w:rFonts w:ascii="方正仿宋_GBK" w:hAnsi="Times New Roman" w:eastAsia="方正仿宋_GBK"/>
                <w:szCs w:val="21"/>
              </w:rPr>
            </w:pPr>
            <w:r>
              <w:rPr>
                <w:rFonts w:hint="eastAsia" w:ascii="方正仿宋_GBK" w:hAnsi="Times New Roman" w:eastAsia="方正仿宋_GBK"/>
                <w:szCs w:val="21"/>
              </w:rPr>
              <w:t>重点工业产品</w:t>
            </w: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34"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1323" w:type="dxa"/>
            <w:vAlign w:val="center"/>
          </w:tcPr>
          <w:p>
            <w:pPr>
              <w:widowControl/>
              <w:spacing w:line="320" w:lineRule="exact"/>
              <w:jc w:val="center"/>
              <w:textAlignment w:val="center"/>
              <w:rPr>
                <w:rFonts w:ascii="方正仿宋_GBK" w:hAnsi="Times New Roman" w:eastAsia="方正仿宋_GBK"/>
                <w:szCs w:val="21"/>
              </w:rPr>
            </w:pPr>
            <w:r>
              <w:rPr>
                <w:rFonts w:hint="eastAsia" w:ascii="方正仿宋_GBK" w:hAnsi="Times New Roman" w:eastAsia="方正仿宋_GBK"/>
                <w:szCs w:val="21"/>
              </w:rPr>
              <w:t>其他</w:t>
            </w: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071"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34"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c>
          <w:tcPr>
            <w:tcW w:w="1197" w:type="dxa"/>
            <w:vAlign w:val="center"/>
          </w:tcPr>
          <w:p>
            <w:pPr>
              <w:widowControl/>
              <w:spacing w:line="320" w:lineRule="exact"/>
              <w:jc w:val="center"/>
              <w:textAlignment w:val="center"/>
              <w:rPr>
                <w:rFonts w:ascii="方正仿宋_GBK" w:hAnsi="Times New Roman" w:eastAsia="方正仿宋_GBK"/>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02" w:hRule="atLeast"/>
          <w:jc w:val="center"/>
        </w:trPr>
        <w:tc>
          <w:tcPr>
            <w:tcW w:w="14175" w:type="dxa"/>
            <w:gridSpan w:val="12"/>
            <w:tcBorders>
              <w:bottom w:val="single" w:color="auto" w:sz="8" w:space="0"/>
            </w:tcBorders>
          </w:tcPr>
          <w:p>
            <w:pPr>
              <w:widowControl/>
              <w:spacing w:line="400" w:lineRule="exact"/>
              <w:jc w:val="left"/>
              <w:textAlignment w:val="center"/>
              <w:rPr>
                <w:rFonts w:ascii="Times New Roman" w:hAnsi="Times New Roman" w:eastAsia="方正黑体_GBK"/>
                <w:szCs w:val="21"/>
              </w:rPr>
            </w:pPr>
            <w:r>
              <w:rPr>
                <w:rFonts w:hint="eastAsia" w:ascii="Times New Roman" w:hAnsi="Times New Roman" w:eastAsia="方正黑体_GBK"/>
                <w:szCs w:val="21"/>
              </w:rPr>
              <w:t>亮点工作：</w:t>
            </w:r>
          </w:p>
          <w:p>
            <w:pPr>
              <w:widowControl/>
              <w:spacing w:line="320" w:lineRule="exact"/>
              <w:jc w:val="left"/>
              <w:textAlignment w:val="center"/>
              <w:rPr>
                <w:rFonts w:ascii="Times New Roman" w:hAnsi="Times New Roman" w:eastAsia="方正黑体_GBK"/>
                <w:szCs w:val="21"/>
              </w:rPr>
            </w:pPr>
          </w:p>
          <w:p>
            <w:pPr>
              <w:widowControl/>
              <w:spacing w:line="320" w:lineRule="exact"/>
              <w:jc w:val="left"/>
              <w:textAlignment w:val="center"/>
              <w:rPr>
                <w:rFonts w:ascii="Times New Roman" w:hAnsi="Times New Roman" w:eastAsia="仿宋"/>
                <w:szCs w:val="21"/>
              </w:rPr>
            </w:pPr>
          </w:p>
          <w:p>
            <w:pPr>
              <w:widowControl/>
              <w:spacing w:line="320" w:lineRule="exact"/>
              <w:jc w:val="left"/>
              <w:textAlignment w:val="center"/>
              <w:rPr>
                <w:rFonts w:ascii="Times New Roman" w:hAnsi="Times New Roman" w:eastAsia="仿宋"/>
                <w:szCs w:val="21"/>
              </w:rPr>
            </w:pPr>
          </w:p>
          <w:p>
            <w:pPr>
              <w:widowControl/>
              <w:spacing w:line="320" w:lineRule="exact"/>
              <w:jc w:val="left"/>
              <w:textAlignment w:val="center"/>
              <w:rPr>
                <w:rFonts w:ascii="Times New Roman" w:hAnsi="Times New Roman" w:eastAsia="仿宋"/>
                <w:szCs w:val="21"/>
              </w:rPr>
            </w:pPr>
          </w:p>
          <w:p>
            <w:pPr>
              <w:widowControl/>
              <w:spacing w:line="320" w:lineRule="exact"/>
              <w:jc w:val="left"/>
              <w:textAlignment w:val="center"/>
              <w:rPr>
                <w:rFonts w:hint="eastAsia" w:ascii="Times New Roman" w:hAnsi="Times New Roman" w:eastAsia="仿宋"/>
                <w:szCs w:val="21"/>
              </w:rPr>
            </w:pPr>
          </w:p>
          <w:p>
            <w:pPr>
              <w:widowControl/>
              <w:spacing w:line="320" w:lineRule="exact"/>
              <w:jc w:val="left"/>
              <w:textAlignment w:val="center"/>
              <w:rPr>
                <w:rFonts w:ascii="Times New Roman" w:hAnsi="Times New Roman" w:eastAsia="仿宋"/>
                <w:szCs w:val="21"/>
              </w:rPr>
            </w:pPr>
          </w:p>
          <w:p>
            <w:pPr>
              <w:widowControl/>
              <w:spacing w:line="320" w:lineRule="exact"/>
              <w:jc w:val="left"/>
              <w:textAlignment w:val="center"/>
              <w:rPr>
                <w:rFonts w:ascii="Times New Roman" w:hAnsi="Times New Roman" w:eastAsia="仿宋"/>
                <w:szCs w:val="21"/>
              </w:rPr>
            </w:pPr>
          </w:p>
        </w:tc>
      </w:tr>
    </w:tbl>
    <w:p>
      <w:pPr>
        <w:spacing w:line="20" w:lineRule="exact"/>
        <w:ind w:right="588" w:rightChars="280"/>
        <w:rPr>
          <w:rFonts w:ascii="Times New Roman" w:hAnsi="Times New Roman" w:eastAsia="方正仿宋_GBK"/>
          <w:color w:val="000000"/>
        </w:rPr>
      </w:pPr>
    </w:p>
    <w:sectPr>
      <w:headerReference r:id="rId5" w:type="first"/>
      <w:headerReference r:id="rId3" w:type="default"/>
      <w:footerReference r:id="rId6" w:type="default"/>
      <w:headerReference r:id="rId4" w:type="even"/>
      <w:footerReference r:id="rId7" w:type="even"/>
      <w:pgSz w:w="11906" w:h="16838"/>
      <w:pgMar w:top="2098" w:right="1474" w:bottom="1440" w:left="1588" w:header="851"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sz w:val="28"/>
        <w:szCs w:val="28"/>
      </w:rPr>
    </w:pPr>
    <w:r>
      <w:rPr>
        <w:rStyle w:val="13"/>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- 3 -</w:t>
    </w:r>
    <w:r>
      <w:rPr>
        <w:rStyle w:val="13"/>
        <w:sz w:val="28"/>
        <w:szCs w:val="28"/>
      </w:rPr>
      <w:fldChar w:fldCharType="end"/>
    </w:r>
    <w:r>
      <w:rPr>
        <w:rStyle w:val="13"/>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sz w:val="28"/>
        <w:szCs w:val="28"/>
      </w:rPr>
    </w:pP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- 2 -</w:t>
    </w:r>
    <w:r>
      <w:rPr>
        <w:rStyle w:val="13"/>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NotTrackMove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1E"/>
    <w:rsid w:val="000018B1"/>
    <w:rsid w:val="00001FB2"/>
    <w:rsid w:val="000034A8"/>
    <w:rsid w:val="00006596"/>
    <w:rsid w:val="00010E25"/>
    <w:rsid w:val="00010E93"/>
    <w:rsid w:val="000110F9"/>
    <w:rsid w:val="000176E0"/>
    <w:rsid w:val="00017FD5"/>
    <w:rsid w:val="00020DA9"/>
    <w:rsid w:val="00021440"/>
    <w:rsid w:val="00025EA2"/>
    <w:rsid w:val="0002651F"/>
    <w:rsid w:val="00027AB8"/>
    <w:rsid w:val="00027B2F"/>
    <w:rsid w:val="00031F29"/>
    <w:rsid w:val="0004212D"/>
    <w:rsid w:val="00043049"/>
    <w:rsid w:val="00045844"/>
    <w:rsid w:val="00056A45"/>
    <w:rsid w:val="00067D01"/>
    <w:rsid w:val="00067DA9"/>
    <w:rsid w:val="0008007B"/>
    <w:rsid w:val="00082C53"/>
    <w:rsid w:val="00083622"/>
    <w:rsid w:val="0008595B"/>
    <w:rsid w:val="00095FB3"/>
    <w:rsid w:val="00096C88"/>
    <w:rsid w:val="00096FC6"/>
    <w:rsid w:val="000A1019"/>
    <w:rsid w:val="000A25DC"/>
    <w:rsid w:val="000A36D8"/>
    <w:rsid w:val="000A3F15"/>
    <w:rsid w:val="000A4838"/>
    <w:rsid w:val="000A5C30"/>
    <w:rsid w:val="000A7F5F"/>
    <w:rsid w:val="000B12C7"/>
    <w:rsid w:val="000B4ED2"/>
    <w:rsid w:val="000C266C"/>
    <w:rsid w:val="000C2C1F"/>
    <w:rsid w:val="000C4F43"/>
    <w:rsid w:val="000C5599"/>
    <w:rsid w:val="000D0F6B"/>
    <w:rsid w:val="000E1374"/>
    <w:rsid w:val="000E5205"/>
    <w:rsid w:val="000E583D"/>
    <w:rsid w:val="000F1839"/>
    <w:rsid w:val="000F3449"/>
    <w:rsid w:val="000F3756"/>
    <w:rsid w:val="00100B55"/>
    <w:rsid w:val="00102399"/>
    <w:rsid w:val="0010716B"/>
    <w:rsid w:val="001122AA"/>
    <w:rsid w:val="00113307"/>
    <w:rsid w:val="0012616D"/>
    <w:rsid w:val="001267C0"/>
    <w:rsid w:val="001271B0"/>
    <w:rsid w:val="0013126A"/>
    <w:rsid w:val="00142733"/>
    <w:rsid w:val="00142DAA"/>
    <w:rsid w:val="00144185"/>
    <w:rsid w:val="00146D80"/>
    <w:rsid w:val="00147350"/>
    <w:rsid w:val="00153729"/>
    <w:rsid w:val="00155F61"/>
    <w:rsid w:val="0017016D"/>
    <w:rsid w:val="001738A4"/>
    <w:rsid w:val="0017462D"/>
    <w:rsid w:val="001762A9"/>
    <w:rsid w:val="00180CAB"/>
    <w:rsid w:val="00183B7D"/>
    <w:rsid w:val="001853CA"/>
    <w:rsid w:val="00186C9E"/>
    <w:rsid w:val="00191B83"/>
    <w:rsid w:val="001A05D7"/>
    <w:rsid w:val="001A068C"/>
    <w:rsid w:val="001A3E13"/>
    <w:rsid w:val="001B0E1F"/>
    <w:rsid w:val="001B19D7"/>
    <w:rsid w:val="001B1CF8"/>
    <w:rsid w:val="001B23B7"/>
    <w:rsid w:val="001B7117"/>
    <w:rsid w:val="001B77E4"/>
    <w:rsid w:val="001D0A8C"/>
    <w:rsid w:val="001D5DE5"/>
    <w:rsid w:val="001E0909"/>
    <w:rsid w:val="001E5F45"/>
    <w:rsid w:val="001F1EB1"/>
    <w:rsid w:val="001F3BB1"/>
    <w:rsid w:val="001F491A"/>
    <w:rsid w:val="001F4FBE"/>
    <w:rsid w:val="001F7A70"/>
    <w:rsid w:val="00200F6B"/>
    <w:rsid w:val="00204451"/>
    <w:rsid w:val="002216EC"/>
    <w:rsid w:val="00224E5D"/>
    <w:rsid w:val="002270B9"/>
    <w:rsid w:val="0022745F"/>
    <w:rsid w:val="00235CEA"/>
    <w:rsid w:val="002371E9"/>
    <w:rsid w:val="00256F8A"/>
    <w:rsid w:val="002579BB"/>
    <w:rsid w:val="002601BB"/>
    <w:rsid w:val="00264608"/>
    <w:rsid w:val="00267F58"/>
    <w:rsid w:val="00275645"/>
    <w:rsid w:val="00277F94"/>
    <w:rsid w:val="00282A31"/>
    <w:rsid w:val="00296A2D"/>
    <w:rsid w:val="00296A50"/>
    <w:rsid w:val="00297C3B"/>
    <w:rsid w:val="002A1CBB"/>
    <w:rsid w:val="002B5E89"/>
    <w:rsid w:val="002B6016"/>
    <w:rsid w:val="002C5ACC"/>
    <w:rsid w:val="002E2EB6"/>
    <w:rsid w:val="002E5371"/>
    <w:rsid w:val="002F349B"/>
    <w:rsid w:val="002F7AD2"/>
    <w:rsid w:val="00305E36"/>
    <w:rsid w:val="00315B1E"/>
    <w:rsid w:val="00332257"/>
    <w:rsid w:val="00332E8B"/>
    <w:rsid w:val="0033391C"/>
    <w:rsid w:val="0033596E"/>
    <w:rsid w:val="00336269"/>
    <w:rsid w:val="003363EF"/>
    <w:rsid w:val="00336422"/>
    <w:rsid w:val="00341CEB"/>
    <w:rsid w:val="00342841"/>
    <w:rsid w:val="003540BA"/>
    <w:rsid w:val="00354621"/>
    <w:rsid w:val="0036160D"/>
    <w:rsid w:val="00365502"/>
    <w:rsid w:val="00367086"/>
    <w:rsid w:val="003702C7"/>
    <w:rsid w:val="00370440"/>
    <w:rsid w:val="00372189"/>
    <w:rsid w:val="003734F2"/>
    <w:rsid w:val="00374AD9"/>
    <w:rsid w:val="00377A7C"/>
    <w:rsid w:val="00392DBF"/>
    <w:rsid w:val="00393E1A"/>
    <w:rsid w:val="003A7CEB"/>
    <w:rsid w:val="003B16B1"/>
    <w:rsid w:val="003B2A1A"/>
    <w:rsid w:val="003B2B26"/>
    <w:rsid w:val="003B6383"/>
    <w:rsid w:val="003B69E7"/>
    <w:rsid w:val="003C0DBE"/>
    <w:rsid w:val="003C1EAE"/>
    <w:rsid w:val="003C5B92"/>
    <w:rsid w:val="003C5ED4"/>
    <w:rsid w:val="003C62D5"/>
    <w:rsid w:val="003C65F5"/>
    <w:rsid w:val="003D1CED"/>
    <w:rsid w:val="003D7302"/>
    <w:rsid w:val="003D7A5A"/>
    <w:rsid w:val="003E29A9"/>
    <w:rsid w:val="003E48ED"/>
    <w:rsid w:val="003E5376"/>
    <w:rsid w:val="003F650F"/>
    <w:rsid w:val="00401847"/>
    <w:rsid w:val="00402C00"/>
    <w:rsid w:val="004037B7"/>
    <w:rsid w:val="00406DEE"/>
    <w:rsid w:val="0040757A"/>
    <w:rsid w:val="004119EC"/>
    <w:rsid w:val="00412186"/>
    <w:rsid w:val="00422440"/>
    <w:rsid w:val="004234E3"/>
    <w:rsid w:val="004302DB"/>
    <w:rsid w:val="00432EF1"/>
    <w:rsid w:val="00437547"/>
    <w:rsid w:val="00444D60"/>
    <w:rsid w:val="00447472"/>
    <w:rsid w:val="004575AD"/>
    <w:rsid w:val="00462F79"/>
    <w:rsid w:val="0047371F"/>
    <w:rsid w:val="004818A6"/>
    <w:rsid w:val="0048245F"/>
    <w:rsid w:val="00482573"/>
    <w:rsid w:val="00482A6A"/>
    <w:rsid w:val="00491F62"/>
    <w:rsid w:val="004973C8"/>
    <w:rsid w:val="004A11FC"/>
    <w:rsid w:val="004A3035"/>
    <w:rsid w:val="004A73A1"/>
    <w:rsid w:val="004B24C6"/>
    <w:rsid w:val="004C0CCF"/>
    <w:rsid w:val="004D40CD"/>
    <w:rsid w:val="004E0A49"/>
    <w:rsid w:val="004E210C"/>
    <w:rsid w:val="004E4567"/>
    <w:rsid w:val="004E7B5A"/>
    <w:rsid w:val="004F0A79"/>
    <w:rsid w:val="004F6C0E"/>
    <w:rsid w:val="004F73CA"/>
    <w:rsid w:val="004F7D3B"/>
    <w:rsid w:val="00500224"/>
    <w:rsid w:val="0050059D"/>
    <w:rsid w:val="00501E36"/>
    <w:rsid w:val="0051046C"/>
    <w:rsid w:val="00527DE0"/>
    <w:rsid w:val="00537F7D"/>
    <w:rsid w:val="005410E5"/>
    <w:rsid w:val="00542374"/>
    <w:rsid w:val="00546B98"/>
    <w:rsid w:val="00553DC2"/>
    <w:rsid w:val="00554031"/>
    <w:rsid w:val="00555FEC"/>
    <w:rsid w:val="0055721E"/>
    <w:rsid w:val="00560B18"/>
    <w:rsid w:val="00563294"/>
    <w:rsid w:val="00571BCB"/>
    <w:rsid w:val="00573077"/>
    <w:rsid w:val="00574FD5"/>
    <w:rsid w:val="0057743B"/>
    <w:rsid w:val="00580B0A"/>
    <w:rsid w:val="00581E32"/>
    <w:rsid w:val="00586450"/>
    <w:rsid w:val="005917B8"/>
    <w:rsid w:val="00595D09"/>
    <w:rsid w:val="005961BA"/>
    <w:rsid w:val="00596B9F"/>
    <w:rsid w:val="005A19D3"/>
    <w:rsid w:val="005A34D1"/>
    <w:rsid w:val="005B73F6"/>
    <w:rsid w:val="005B7838"/>
    <w:rsid w:val="005C0338"/>
    <w:rsid w:val="005C49EC"/>
    <w:rsid w:val="005C5946"/>
    <w:rsid w:val="005C6332"/>
    <w:rsid w:val="005D1E61"/>
    <w:rsid w:val="005D64DB"/>
    <w:rsid w:val="005E116C"/>
    <w:rsid w:val="005F0973"/>
    <w:rsid w:val="005F3C8A"/>
    <w:rsid w:val="005F6962"/>
    <w:rsid w:val="006112E4"/>
    <w:rsid w:val="0061223A"/>
    <w:rsid w:val="00617F0C"/>
    <w:rsid w:val="0062607B"/>
    <w:rsid w:val="00643F8E"/>
    <w:rsid w:val="00644390"/>
    <w:rsid w:val="0064442D"/>
    <w:rsid w:val="00644EE4"/>
    <w:rsid w:val="00645589"/>
    <w:rsid w:val="00652CB2"/>
    <w:rsid w:val="006554E4"/>
    <w:rsid w:val="00657CA1"/>
    <w:rsid w:val="00657F31"/>
    <w:rsid w:val="006667E7"/>
    <w:rsid w:val="006853C5"/>
    <w:rsid w:val="00686A94"/>
    <w:rsid w:val="00697FC9"/>
    <w:rsid w:val="006A07D2"/>
    <w:rsid w:val="006B051A"/>
    <w:rsid w:val="006B2A75"/>
    <w:rsid w:val="006B57B1"/>
    <w:rsid w:val="006C0102"/>
    <w:rsid w:val="006C40CD"/>
    <w:rsid w:val="006D0359"/>
    <w:rsid w:val="006D3F84"/>
    <w:rsid w:val="006D774D"/>
    <w:rsid w:val="006E1DAE"/>
    <w:rsid w:val="006E3914"/>
    <w:rsid w:val="006F3CE3"/>
    <w:rsid w:val="006F3D20"/>
    <w:rsid w:val="00704693"/>
    <w:rsid w:val="0071033C"/>
    <w:rsid w:val="0071286A"/>
    <w:rsid w:val="00716647"/>
    <w:rsid w:val="007220FD"/>
    <w:rsid w:val="0073335B"/>
    <w:rsid w:val="00733B50"/>
    <w:rsid w:val="00740318"/>
    <w:rsid w:val="0074211E"/>
    <w:rsid w:val="00744362"/>
    <w:rsid w:val="00744525"/>
    <w:rsid w:val="00747572"/>
    <w:rsid w:val="00750CCD"/>
    <w:rsid w:val="0075640C"/>
    <w:rsid w:val="00756B9C"/>
    <w:rsid w:val="0076199F"/>
    <w:rsid w:val="00763521"/>
    <w:rsid w:val="00767CE2"/>
    <w:rsid w:val="007709B7"/>
    <w:rsid w:val="00774854"/>
    <w:rsid w:val="00776FF9"/>
    <w:rsid w:val="00777E50"/>
    <w:rsid w:val="0079102E"/>
    <w:rsid w:val="00793DBA"/>
    <w:rsid w:val="00796F85"/>
    <w:rsid w:val="007A070B"/>
    <w:rsid w:val="007A14F0"/>
    <w:rsid w:val="007A42B1"/>
    <w:rsid w:val="007B2C62"/>
    <w:rsid w:val="007B39C0"/>
    <w:rsid w:val="007B7049"/>
    <w:rsid w:val="007C2B5E"/>
    <w:rsid w:val="007C3203"/>
    <w:rsid w:val="007C4FD9"/>
    <w:rsid w:val="007D2F86"/>
    <w:rsid w:val="007D50D8"/>
    <w:rsid w:val="007D5B1B"/>
    <w:rsid w:val="007E3123"/>
    <w:rsid w:val="007E3DA6"/>
    <w:rsid w:val="007F206A"/>
    <w:rsid w:val="007F3D29"/>
    <w:rsid w:val="007F767C"/>
    <w:rsid w:val="008007EF"/>
    <w:rsid w:val="008067E7"/>
    <w:rsid w:val="00810B27"/>
    <w:rsid w:val="0081531C"/>
    <w:rsid w:val="00821EB0"/>
    <w:rsid w:val="00824C5D"/>
    <w:rsid w:val="00837625"/>
    <w:rsid w:val="00846E32"/>
    <w:rsid w:val="00847DB8"/>
    <w:rsid w:val="00851CFF"/>
    <w:rsid w:val="00855907"/>
    <w:rsid w:val="00856288"/>
    <w:rsid w:val="008567D4"/>
    <w:rsid w:val="00857974"/>
    <w:rsid w:val="008622BF"/>
    <w:rsid w:val="00864367"/>
    <w:rsid w:val="00865C29"/>
    <w:rsid w:val="00872564"/>
    <w:rsid w:val="00875875"/>
    <w:rsid w:val="00884CAE"/>
    <w:rsid w:val="008944CA"/>
    <w:rsid w:val="008A4047"/>
    <w:rsid w:val="008A5643"/>
    <w:rsid w:val="008A66AE"/>
    <w:rsid w:val="008B6FC6"/>
    <w:rsid w:val="008B7BC8"/>
    <w:rsid w:val="008C2418"/>
    <w:rsid w:val="008D0899"/>
    <w:rsid w:val="008F35B2"/>
    <w:rsid w:val="008F360A"/>
    <w:rsid w:val="008F7FA9"/>
    <w:rsid w:val="00900735"/>
    <w:rsid w:val="0090211B"/>
    <w:rsid w:val="00902551"/>
    <w:rsid w:val="00903D90"/>
    <w:rsid w:val="009045CC"/>
    <w:rsid w:val="00905723"/>
    <w:rsid w:val="00910452"/>
    <w:rsid w:val="00921AAF"/>
    <w:rsid w:val="00922C76"/>
    <w:rsid w:val="009237E7"/>
    <w:rsid w:val="0092459E"/>
    <w:rsid w:val="00926B76"/>
    <w:rsid w:val="00930061"/>
    <w:rsid w:val="00951C9C"/>
    <w:rsid w:val="00951D53"/>
    <w:rsid w:val="00953408"/>
    <w:rsid w:val="00956170"/>
    <w:rsid w:val="00963724"/>
    <w:rsid w:val="00966232"/>
    <w:rsid w:val="00976742"/>
    <w:rsid w:val="00980D66"/>
    <w:rsid w:val="009815A1"/>
    <w:rsid w:val="009831A4"/>
    <w:rsid w:val="00984E1B"/>
    <w:rsid w:val="00985692"/>
    <w:rsid w:val="00986829"/>
    <w:rsid w:val="0099146B"/>
    <w:rsid w:val="00994374"/>
    <w:rsid w:val="00996F7C"/>
    <w:rsid w:val="009B177B"/>
    <w:rsid w:val="009B3AB4"/>
    <w:rsid w:val="009B5947"/>
    <w:rsid w:val="009B6AE2"/>
    <w:rsid w:val="009B7933"/>
    <w:rsid w:val="009C1281"/>
    <w:rsid w:val="009C5319"/>
    <w:rsid w:val="009C79EF"/>
    <w:rsid w:val="009D072A"/>
    <w:rsid w:val="009D7C06"/>
    <w:rsid w:val="009E23DA"/>
    <w:rsid w:val="009F312F"/>
    <w:rsid w:val="009F4867"/>
    <w:rsid w:val="009F6680"/>
    <w:rsid w:val="00A00166"/>
    <w:rsid w:val="00A01EB6"/>
    <w:rsid w:val="00A060CA"/>
    <w:rsid w:val="00A21B29"/>
    <w:rsid w:val="00A23391"/>
    <w:rsid w:val="00A30981"/>
    <w:rsid w:val="00A34EEE"/>
    <w:rsid w:val="00A369E3"/>
    <w:rsid w:val="00A42E15"/>
    <w:rsid w:val="00A61024"/>
    <w:rsid w:val="00A652E7"/>
    <w:rsid w:val="00A6781C"/>
    <w:rsid w:val="00A72B7E"/>
    <w:rsid w:val="00A75046"/>
    <w:rsid w:val="00A839A9"/>
    <w:rsid w:val="00A8416A"/>
    <w:rsid w:val="00A916B4"/>
    <w:rsid w:val="00A967D4"/>
    <w:rsid w:val="00A972F8"/>
    <w:rsid w:val="00A97BEE"/>
    <w:rsid w:val="00AA22EB"/>
    <w:rsid w:val="00AA47FF"/>
    <w:rsid w:val="00AA5F12"/>
    <w:rsid w:val="00AA6737"/>
    <w:rsid w:val="00AB3E1E"/>
    <w:rsid w:val="00AB58B3"/>
    <w:rsid w:val="00AC2B1D"/>
    <w:rsid w:val="00AD35DE"/>
    <w:rsid w:val="00AD55AA"/>
    <w:rsid w:val="00AE6AB3"/>
    <w:rsid w:val="00AE7206"/>
    <w:rsid w:val="00AF58EC"/>
    <w:rsid w:val="00AF5FBE"/>
    <w:rsid w:val="00AF7346"/>
    <w:rsid w:val="00AF7D7E"/>
    <w:rsid w:val="00B0361A"/>
    <w:rsid w:val="00B03CC3"/>
    <w:rsid w:val="00B0704E"/>
    <w:rsid w:val="00B07BA4"/>
    <w:rsid w:val="00B10C90"/>
    <w:rsid w:val="00B122BD"/>
    <w:rsid w:val="00B17D23"/>
    <w:rsid w:val="00B23351"/>
    <w:rsid w:val="00B2405D"/>
    <w:rsid w:val="00B25F0A"/>
    <w:rsid w:val="00B35B39"/>
    <w:rsid w:val="00B379C8"/>
    <w:rsid w:val="00B416CE"/>
    <w:rsid w:val="00B46D95"/>
    <w:rsid w:val="00B50786"/>
    <w:rsid w:val="00B537C7"/>
    <w:rsid w:val="00B54CA5"/>
    <w:rsid w:val="00B60C00"/>
    <w:rsid w:val="00B67BFB"/>
    <w:rsid w:val="00B701D1"/>
    <w:rsid w:val="00B7751D"/>
    <w:rsid w:val="00B804B7"/>
    <w:rsid w:val="00B83F29"/>
    <w:rsid w:val="00B84685"/>
    <w:rsid w:val="00B85228"/>
    <w:rsid w:val="00B952C3"/>
    <w:rsid w:val="00BA1D0B"/>
    <w:rsid w:val="00BA5EAF"/>
    <w:rsid w:val="00BB1B34"/>
    <w:rsid w:val="00BB1C46"/>
    <w:rsid w:val="00BB4804"/>
    <w:rsid w:val="00BD614F"/>
    <w:rsid w:val="00BE06DA"/>
    <w:rsid w:val="00BE0FBC"/>
    <w:rsid w:val="00BE24FD"/>
    <w:rsid w:val="00BF57BA"/>
    <w:rsid w:val="00BF72D0"/>
    <w:rsid w:val="00C268FF"/>
    <w:rsid w:val="00C27FE2"/>
    <w:rsid w:val="00C30417"/>
    <w:rsid w:val="00C33F9F"/>
    <w:rsid w:val="00C41A6D"/>
    <w:rsid w:val="00C54537"/>
    <w:rsid w:val="00C579AF"/>
    <w:rsid w:val="00C6095B"/>
    <w:rsid w:val="00C6524C"/>
    <w:rsid w:val="00C65B54"/>
    <w:rsid w:val="00C71383"/>
    <w:rsid w:val="00C736D3"/>
    <w:rsid w:val="00C76C96"/>
    <w:rsid w:val="00C803D1"/>
    <w:rsid w:val="00C817AC"/>
    <w:rsid w:val="00C866E0"/>
    <w:rsid w:val="00C94269"/>
    <w:rsid w:val="00C94541"/>
    <w:rsid w:val="00C959C0"/>
    <w:rsid w:val="00CA3191"/>
    <w:rsid w:val="00CA3AB3"/>
    <w:rsid w:val="00CA51EE"/>
    <w:rsid w:val="00CA5FC8"/>
    <w:rsid w:val="00CA682B"/>
    <w:rsid w:val="00CA7587"/>
    <w:rsid w:val="00CB5BF4"/>
    <w:rsid w:val="00CB5C71"/>
    <w:rsid w:val="00CB5E03"/>
    <w:rsid w:val="00CC14B4"/>
    <w:rsid w:val="00CC207A"/>
    <w:rsid w:val="00CC3A2F"/>
    <w:rsid w:val="00CD47A6"/>
    <w:rsid w:val="00CE265B"/>
    <w:rsid w:val="00CE4994"/>
    <w:rsid w:val="00CE4EA6"/>
    <w:rsid w:val="00CE5BDD"/>
    <w:rsid w:val="00CF3051"/>
    <w:rsid w:val="00CF424F"/>
    <w:rsid w:val="00CF45CD"/>
    <w:rsid w:val="00D01A6F"/>
    <w:rsid w:val="00D05F44"/>
    <w:rsid w:val="00D060C6"/>
    <w:rsid w:val="00D1003A"/>
    <w:rsid w:val="00D11C96"/>
    <w:rsid w:val="00D12D3F"/>
    <w:rsid w:val="00D16832"/>
    <w:rsid w:val="00D25BB2"/>
    <w:rsid w:val="00D271B1"/>
    <w:rsid w:val="00D37752"/>
    <w:rsid w:val="00D40119"/>
    <w:rsid w:val="00D40567"/>
    <w:rsid w:val="00D4760B"/>
    <w:rsid w:val="00D4766C"/>
    <w:rsid w:val="00D50CF4"/>
    <w:rsid w:val="00D53486"/>
    <w:rsid w:val="00D604C9"/>
    <w:rsid w:val="00D61AD8"/>
    <w:rsid w:val="00D63664"/>
    <w:rsid w:val="00D65003"/>
    <w:rsid w:val="00D71494"/>
    <w:rsid w:val="00D739ED"/>
    <w:rsid w:val="00D754CA"/>
    <w:rsid w:val="00D76D30"/>
    <w:rsid w:val="00D82B85"/>
    <w:rsid w:val="00D96072"/>
    <w:rsid w:val="00DA019E"/>
    <w:rsid w:val="00DA06B8"/>
    <w:rsid w:val="00DA578C"/>
    <w:rsid w:val="00DA7AB0"/>
    <w:rsid w:val="00DC15D9"/>
    <w:rsid w:val="00DD7EC8"/>
    <w:rsid w:val="00DE1EA6"/>
    <w:rsid w:val="00DE394F"/>
    <w:rsid w:val="00DF4618"/>
    <w:rsid w:val="00E002E6"/>
    <w:rsid w:val="00E028AA"/>
    <w:rsid w:val="00E04138"/>
    <w:rsid w:val="00E05B36"/>
    <w:rsid w:val="00E1041B"/>
    <w:rsid w:val="00E10F50"/>
    <w:rsid w:val="00E1270C"/>
    <w:rsid w:val="00E130B9"/>
    <w:rsid w:val="00E1310C"/>
    <w:rsid w:val="00E13857"/>
    <w:rsid w:val="00E1499A"/>
    <w:rsid w:val="00E20398"/>
    <w:rsid w:val="00E2068D"/>
    <w:rsid w:val="00E22496"/>
    <w:rsid w:val="00E27003"/>
    <w:rsid w:val="00E272B8"/>
    <w:rsid w:val="00E350FA"/>
    <w:rsid w:val="00E4461E"/>
    <w:rsid w:val="00E4547E"/>
    <w:rsid w:val="00E47075"/>
    <w:rsid w:val="00E5229B"/>
    <w:rsid w:val="00E64CAF"/>
    <w:rsid w:val="00E650A5"/>
    <w:rsid w:val="00E66F38"/>
    <w:rsid w:val="00E67967"/>
    <w:rsid w:val="00E72A98"/>
    <w:rsid w:val="00E80DB4"/>
    <w:rsid w:val="00E820AD"/>
    <w:rsid w:val="00E87D7D"/>
    <w:rsid w:val="00E90AA5"/>
    <w:rsid w:val="00E97816"/>
    <w:rsid w:val="00EA53F7"/>
    <w:rsid w:val="00EA6C95"/>
    <w:rsid w:val="00EB49DC"/>
    <w:rsid w:val="00EB648C"/>
    <w:rsid w:val="00EC244A"/>
    <w:rsid w:val="00EC2D38"/>
    <w:rsid w:val="00EC75B6"/>
    <w:rsid w:val="00ED6640"/>
    <w:rsid w:val="00ED7080"/>
    <w:rsid w:val="00EE32EC"/>
    <w:rsid w:val="00EE45D8"/>
    <w:rsid w:val="00EF000A"/>
    <w:rsid w:val="00EF1529"/>
    <w:rsid w:val="00F13BEA"/>
    <w:rsid w:val="00F13D87"/>
    <w:rsid w:val="00F14CE5"/>
    <w:rsid w:val="00F17726"/>
    <w:rsid w:val="00F20285"/>
    <w:rsid w:val="00F24B89"/>
    <w:rsid w:val="00F25D92"/>
    <w:rsid w:val="00F27C21"/>
    <w:rsid w:val="00F42A6C"/>
    <w:rsid w:val="00F4769E"/>
    <w:rsid w:val="00F47736"/>
    <w:rsid w:val="00F60D13"/>
    <w:rsid w:val="00F73F3E"/>
    <w:rsid w:val="00F75CA3"/>
    <w:rsid w:val="00F7775F"/>
    <w:rsid w:val="00F8000D"/>
    <w:rsid w:val="00F80AA7"/>
    <w:rsid w:val="00F8650E"/>
    <w:rsid w:val="00F870FA"/>
    <w:rsid w:val="00F95CC2"/>
    <w:rsid w:val="00FA3A8A"/>
    <w:rsid w:val="00FA6795"/>
    <w:rsid w:val="00FA6EF6"/>
    <w:rsid w:val="00FB6E16"/>
    <w:rsid w:val="00FB6F99"/>
    <w:rsid w:val="00FC016C"/>
    <w:rsid w:val="00FC37B9"/>
    <w:rsid w:val="00FC687D"/>
    <w:rsid w:val="00FD1152"/>
    <w:rsid w:val="00FD2486"/>
    <w:rsid w:val="00FD391F"/>
    <w:rsid w:val="00FD3A45"/>
    <w:rsid w:val="00FD4B22"/>
    <w:rsid w:val="00FD6BF7"/>
    <w:rsid w:val="00FE7224"/>
    <w:rsid w:val="00FF07FD"/>
    <w:rsid w:val="00FF0D5A"/>
    <w:rsid w:val="00FF382F"/>
    <w:rsid w:val="00FF4A12"/>
    <w:rsid w:val="4F462B98"/>
    <w:rsid w:val="BDF35B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99"/>
    <w:pPr>
      <w:spacing w:after="120"/>
    </w:pPr>
  </w:style>
  <w:style w:type="paragraph" w:styleId="3">
    <w:name w:val="Body Text Indent"/>
    <w:basedOn w:val="1"/>
    <w:link w:val="26"/>
    <w:qFormat/>
    <w:uiPriority w:val="99"/>
    <w:pPr>
      <w:spacing w:after="120"/>
      <w:ind w:left="420" w:leftChars="200"/>
    </w:pPr>
    <w:rPr>
      <w:rFonts w:ascii="仿宋_GB2312" w:hAnsi="Times New Roman" w:eastAsia="仿宋_GB2312"/>
      <w:sz w:val="32"/>
      <w:szCs w:val="20"/>
    </w:rPr>
  </w:style>
  <w:style w:type="paragraph" w:styleId="4">
    <w:name w:val="Date"/>
    <w:basedOn w:val="1"/>
    <w:next w:val="1"/>
    <w:link w:val="20"/>
    <w:qFormat/>
    <w:uiPriority w:val="99"/>
    <w:pPr>
      <w:ind w:left="100" w:leftChars="2500"/>
    </w:pPr>
    <w:rPr>
      <w:rFonts w:ascii="Times New Roman" w:hAnsi="Times New Roman"/>
      <w:kern w:val="0"/>
      <w:sz w:val="20"/>
      <w:szCs w:val="20"/>
    </w:rPr>
  </w:style>
  <w:style w:type="paragraph" w:styleId="5">
    <w:name w:val="Balloon Text"/>
    <w:basedOn w:val="1"/>
    <w:link w:val="32"/>
    <w:semiHidden/>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rFonts w:ascii="Times New Roman" w:hAnsi="Times New Roman"/>
      <w:kern w:val="0"/>
      <w:sz w:val="18"/>
      <w:szCs w:val="20"/>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8">
    <w:name w:val="Normal (Web)"/>
    <w:basedOn w:val="1"/>
    <w:qFormat/>
    <w:uiPriority w:val="99"/>
    <w:rPr>
      <w:sz w:val="24"/>
      <w:szCs w:val="24"/>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563C1"/>
      <w:u w:val="single"/>
    </w:rPr>
  </w:style>
  <w:style w:type="character" w:customStyle="1" w:styleId="15">
    <w:name w:val="Footer Char1"/>
    <w:qFormat/>
    <w:locked/>
    <w:uiPriority w:val="99"/>
    <w:rPr>
      <w:sz w:val="18"/>
    </w:rPr>
  </w:style>
  <w:style w:type="character" w:customStyle="1" w:styleId="16">
    <w:name w:val="Header Char"/>
    <w:qFormat/>
    <w:locked/>
    <w:uiPriority w:val="99"/>
    <w:rPr>
      <w:sz w:val="18"/>
    </w:rPr>
  </w:style>
  <w:style w:type="character" w:customStyle="1" w:styleId="17">
    <w:name w:val="Date Char"/>
    <w:semiHidden/>
    <w:qFormat/>
    <w:locked/>
    <w:uiPriority w:val="99"/>
    <w:rPr>
      <w:rFonts w:cs="Times New Roman"/>
    </w:rPr>
  </w:style>
  <w:style w:type="character" w:customStyle="1" w:styleId="18">
    <w:name w:val="页眉 Char"/>
    <w:basedOn w:val="11"/>
    <w:link w:val="7"/>
    <w:semiHidden/>
    <w:qFormat/>
    <w:locked/>
    <w:uiPriority w:val="99"/>
    <w:rPr>
      <w:rFonts w:ascii="Calibri" w:hAnsi="Calibri" w:cs="Times New Roman"/>
      <w:sz w:val="18"/>
      <w:szCs w:val="18"/>
    </w:rPr>
  </w:style>
  <w:style w:type="character" w:customStyle="1" w:styleId="19">
    <w:name w:val="页脚 Char"/>
    <w:basedOn w:val="11"/>
    <w:link w:val="6"/>
    <w:qFormat/>
    <w:locked/>
    <w:uiPriority w:val="99"/>
    <w:rPr>
      <w:rFonts w:cs="Times New Roman"/>
      <w:sz w:val="18"/>
      <w:szCs w:val="18"/>
    </w:rPr>
  </w:style>
  <w:style w:type="character" w:customStyle="1" w:styleId="20">
    <w:name w:val="日期 Char"/>
    <w:basedOn w:val="11"/>
    <w:link w:val="4"/>
    <w:semiHidden/>
    <w:qFormat/>
    <w:locked/>
    <w:uiPriority w:val="99"/>
    <w:rPr>
      <w:rFonts w:ascii="Calibri" w:hAnsi="Calibri" w:cs="Times New Roman"/>
    </w:rPr>
  </w:style>
  <w:style w:type="paragraph" w:customStyle="1" w:styleId="21">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Char1 Char Char Char Char Char Char"/>
    <w:basedOn w:val="1"/>
    <w:qFormat/>
    <w:uiPriority w:val="99"/>
    <w:rPr>
      <w:rFonts w:ascii="等线" w:hAnsi="等线" w:eastAsia="等线"/>
    </w:rPr>
  </w:style>
  <w:style w:type="paragraph" w:customStyle="1" w:styleId="23">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character" w:customStyle="1" w:styleId="24">
    <w:name w:val="font51"/>
    <w:basedOn w:val="11"/>
    <w:qFormat/>
    <w:uiPriority w:val="99"/>
    <w:rPr>
      <w:rFonts w:ascii="宋体" w:hAnsi="宋体" w:eastAsia="宋体" w:cs="宋体"/>
      <w:color w:val="auto"/>
      <w:sz w:val="20"/>
      <w:szCs w:val="20"/>
      <w:u w:val="none"/>
    </w:rPr>
  </w:style>
  <w:style w:type="character" w:customStyle="1" w:styleId="25">
    <w:name w:val="Char Char3"/>
    <w:basedOn w:val="11"/>
    <w:qFormat/>
    <w:uiPriority w:val="99"/>
    <w:rPr>
      <w:rFonts w:cs="Times New Roman"/>
      <w:sz w:val="18"/>
      <w:szCs w:val="18"/>
    </w:rPr>
  </w:style>
  <w:style w:type="character" w:customStyle="1" w:styleId="26">
    <w:name w:val="正文文本缩进 Char"/>
    <w:basedOn w:val="11"/>
    <w:link w:val="3"/>
    <w:semiHidden/>
    <w:qFormat/>
    <w:locked/>
    <w:uiPriority w:val="99"/>
    <w:rPr>
      <w:rFonts w:ascii="Calibri" w:hAnsi="Calibri" w:cs="Times New Roman"/>
    </w:rPr>
  </w:style>
  <w:style w:type="paragraph" w:customStyle="1" w:styleId="27">
    <w:name w:val="列出段落1"/>
    <w:basedOn w:val="1"/>
    <w:qFormat/>
    <w:uiPriority w:val="99"/>
    <w:pPr>
      <w:ind w:firstLine="420" w:firstLineChars="200"/>
    </w:pPr>
  </w:style>
  <w:style w:type="character" w:customStyle="1" w:styleId="28">
    <w:name w:val="span_mc"/>
    <w:basedOn w:val="11"/>
    <w:qFormat/>
    <w:uiPriority w:val="99"/>
    <w:rPr>
      <w:rFonts w:cs="Times New Roman"/>
    </w:rPr>
  </w:style>
  <w:style w:type="paragraph" w:customStyle="1" w:styleId="29">
    <w:name w:val="Default"/>
    <w:qFormat/>
    <w:uiPriority w:val="99"/>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character" w:customStyle="1" w:styleId="30">
    <w:name w:val="正文文本 Char"/>
    <w:basedOn w:val="11"/>
    <w:link w:val="2"/>
    <w:semiHidden/>
    <w:qFormat/>
    <w:locked/>
    <w:uiPriority w:val="99"/>
    <w:rPr>
      <w:rFonts w:ascii="Calibri" w:hAnsi="Calibri" w:cs="Times New Roman"/>
    </w:rPr>
  </w:style>
  <w:style w:type="character" w:customStyle="1" w:styleId="31">
    <w:name w:val="bjh-p"/>
    <w:basedOn w:val="11"/>
    <w:qFormat/>
    <w:uiPriority w:val="99"/>
    <w:rPr>
      <w:rFonts w:cs="Times New Roman"/>
    </w:rPr>
  </w:style>
  <w:style w:type="character" w:customStyle="1" w:styleId="32">
    <w:name w:val="批注框文本 Char"/>
    <w:basedOn w:val="11"/>
    <w:link w:val="5"/>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606</Words>
  <Characters>3459</Characters>
  <Lines>28</Lines>
  <Paragraphs>8</Paragraphs>
  <TotalTime>7</TotalTime>
  <ScaleCrop>false</ScaleCrop>
  <LinksUpToDate>false</LinksUpToDate>
  <CharactersWithSpaces>4057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2021-12-21T11:55:00Z</dcterms:created>
  <dc:creator>周云 10.143.2.90</dc:creator>
  <cp:lastModifiedBy>greatwall</cp:lastModifiedBy>
  <cp:lastPrinted>2021-12-21T11:55:00Z</cp:lastPrinted>
  <dcterms:modified xsi:type="dcterms:W3CDTF">2022-01-06T09:38:31Z</dcterms:modified>
  <dc:title>湘市监办字〔2019〕23号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