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黑体_GBK" w:eastAsia="方正黑体_GBK"/>
          <w:sz w:val="32"/>
          <w:szCs w:val="32"/>
          <w:lang w:val="en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方正小标宋_GBK" w:eastAsia="方正小标宋_GBK"/>
          <w:sz w:val="44"/>
          <w:szCs w:val="44"/>
        </w:rPr>
        <w:t>食品安全</w:t>
      </w: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方正小标宋_GBK" w:eastAsia="方正小标宋_GBK"/>
          <w:sz w:val="44"/>
          <w:szCs w:val="44"/>
        </w:rPr>
        <w:t>守底线、查隐患、保安全</w:t>
      </w:r>
      <w:r>
        <w:rPr>
          <w:rFonts w:ascii="Times New Roman" w:hAnsi="Times New Roman" w:eastAsia="方正小标宋_GBK"/>
          <w:sz w:val="44"/>
          <w:szCs w:val="44"/>
        </w:rPr>
        <w:t>”</w:t>
      </w:r>
      <w:r>
        <w:rPr>
          <w:rFonts w:ascii="Times New Roman" w:hAnsi="方正小标宋_GBK" w:eastAsia="方正小标宋_GBK"/>
          <w:sz w:val="44"/>
          <w:szCs w:val="44"/>
        </w:rPr>
        <w:t>专项行动</w:t>
      </w:r>
    </w:p>
    <w:p>
      <w:pPr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风险隐患排查处置情况汇总表</w:t>
      </w:r>
      <w:bookmarkEnd w:id="0"/>
    </w:p>
    <w:p>
      <w:pPr>
        <w:spacing w:line="400" w:lineRule="exact"/>
        <w:jc w:val="left"/>
        <w:rPr>
          <w:rFonts w:ascii="Times New Roman" w:hAnsi="方正楷体_GBK" w:eastAsia="方正楷体_GBK"/>
          <w:sz w:val="28"/>
          <w:szCs w:val="28"/>
        </w:rPr>
      </w:pPr>
    </w:p>
    <w:p>
      <w:pPr>
        <w:spacing w:line="570" w:lineRule="exact"/>
        <w:jc w:val="left"/>
        <w:rPr>
          <w:rFonts w:ascii="Times New Roman" w:hAnsi="方正楷体_GBK" w:eastAsia="方正楷体_GBK"/>
          <w:sz w:val="28"/>
          <w:szCs w:val="28"/>
        </w:rPr>
      </w:pPr>
      <w:r>
        <w:rPr>
          <w:rFonts w:ascii="Times New Roman" w:hAnsi="方正楷体_GBK" w:eastAsia="方正楷体_GBK"/>
          <w:sz w:val="28"/>
          <w:szCs w:val="28"/>
        </w:rPr>
        <w:t>填报单位：（加盖公章）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1203"/>
        <w:gridCol w:w="1348"/>
        <w:gridCol w:w="1134"/>
        <w:gridCol w:w="1134"/>
        <w:gridCol w:w="1134"/>
        <w:gridCol w:w="1276"/>
        <w:gridCol w:w="709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所属领域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检查主体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（户次）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风险隐患（个）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处置情况（个）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监督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检查发现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抽检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监测发现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案件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查办发现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投诉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举报发现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媒体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曝光发现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渠道发现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总计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处置中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食品生产企业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连锁食品销售企业总部（总店）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连锁餐饮企业门店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网络平台提供者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入网商家及线下门店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校园食品和供餐单位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校园周边食品经营者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特殊食品生产经营者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进口冷链食品经营者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...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总  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80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其中：上报市局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</w:tbl>
    <w:p>
      <w:pPr>
        <w:spacing w:line="570" w:lineRule="exact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方正楷体_GBK" w:eastAsia="方正楷体_GBK"/>
          <w:sz w:val="24"/>
          <w:szCs w:val="24"/>
        </w:rPr>
        <w:t>填表人：</w:t>
      </w:r>
      <w:r>
        <w:rPr>
          <w:rFonts w:ascii="Times New Roman" w:hAnsi="Times New Roman" w:eastAsia="方正楷体_GBK"/>
          <w:sz w:val="24"/>
          <w:szCs w:val="24"/>
        </w:rPr>
        <w:t xml:space="preserve">                     </w:t>
      </w:r>
      <w:r>
        <w:rPr>
          <w:rFonts w:ascii="Times New Roman" w:hAnsi="方正楷体_GBK" w:eastAsia="方正楷体_GBK"/>
          <w:sz w:val="24"/>
          <w:szCs w:val="24"/>
        </w:rPr>
        <w:t>手机号：</w:t>
      </w:r>
      <w:r>
        <w:rPr>
          <w:rFonts w:ascii="Times New Roman" w:hAnsi="Times New Roman" w:eastAsia="方正楷体_GBK"/>
          <w:sz w:val="24"/>
          <w:szCs w:val="24"/>
        </w:rPr>
        <w:t xml:space="preserve">                                                 </w:t>
      </w:r>
      <w:r>
        <w:rPr>
          <w:rFonts w:ascii="Times New Roman" w:hAnsi="方正楷体_GBK" w:eastAsia="方正楷体_GBK"/>
          <w:sz w:val="24"/>
          <w:szCs w:val="24"/>
        </w:rPr>
        <w:t>填报时间：</w:t>
      </w:r>
      <w:r>
        <w:rPr>
          <w:rFonts w:ascii="Times New Roman" w:hAnsi="Times New Roman" w:eastAsia="方正楷体_GBK"/>
          <w:sz w:val="24"/>
          <w:szCs w:val="24"/>
        </w:rPr>
        <w:t>2022</w:t>
      </w:r>
      <w:r>
        <w:rPr>
          <w:rFonts w:ascii="Times New Roman" w:hAnsi="方正楷体_GBK" w:eastAsia="方正楷体_GBK"/>
          <w:sz w:val="24"/>
          <w:szCs w:val="24"/>
        </w:rPr>
        <w:t>年</w:t>
      </w:r>
      <w:r>
        <w:rPr>
          <w:rFonts w:ascii="Times New Roman" w:hAnsi="Times New Roman" w:eastAsia="方正楷体_GBK"/>
          <w:sz w:val="24"/>
          <w:szCs w:val="24"/>
        </w:rPr>
        <w:t xml:space="preserve">  </w:t>
      </w:r>
      <w:r>
        <w:rPr>
          <w:rFonts w:ascii="Times New Roman" w:hAnsi="方正楷体_GBK" w:eastAsia="方正楷体_GBK"/>
          <w:sz w:val="24"/>
          <w:szCs w:val="24"/>
        </w:rPr>
        <w:t>月</w:t>
      </w:r>
      <w:r>
        <w:rPr>
          <w:rFonts w:ascii="Times New Roman" w:hAnsi="Times New Roman" w:eastAsia="方正楷体_GBK"/>
          <w:sz w:val="24"/>
          <w:szCs w:val="24"/>
        </w:rPr>
        <w:t xml:space="preserve">  </w:t>
      </w:r>
      <w:r>
        <w:rPr>
          <w:rFonts w:ascii="Times New Roman" w:hAnsi="方正楷体_GBK" w:eastAsia="方正楷体_GBK"/>
          <w:sz w:val="24"/>
          <w:szCs w:val="24"/>
        </w:rPr>
        <w:t>日</w:t>
      </w:r>
    </w:p>
    <w:p>
      <w:pPr>
        <w:spacing w:line="570" w:lineRule="exact"/>
        <w:jc w:val="left"/>
        <w:rPr>
          <w:rFonts w:ascii="Times New Roman" w:hAnsi="Times New Roman" w:eastAsia="方正仿宋_GBK"/>
          <w:sz w:val="24"/>
          <w:szCs w:val="24"/>
        </w:rPr>
        <w:sectPr>
          <w:pgSz w:w="16838" w:h="11906" w:orient="landscape"/>
          <w:pgMar w:top="1814" w:right="1474" w:bottom="1474" w:left="1474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ascii="Times New Roman" w:hAnsi="Times New Roman" w:eastAsia="方正楷体_GBK"/>
          <w:sz w:val="24"/>
          <w:szCs w:val="24"/>
        </w:rPr>
        <w:t xml:space="preserve"> </w:t>
      </w:r>
      <w:r>
        <w:rPr>
          <w:rFonts w:ascii="Times New Roman" w:hAnsi="Times New Roman" w:eastAsia="方正仿宋_GBK"/>
          <w:sz w:val="24"/>
          <w:szCs w:val="24"/>
        </w:rPr>
        <w:t>注：如同一风险隐患有多个来源渠道或领域，只按一次统计。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8DE5"/>
    <w:rsid w:val="3FFE8DE5"/>
    <w:rsid w:val="58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2022-03-10T09:27:00Z</dcterms:created>
  <dc:creator>greatwall</dc:creator>
  <cp:lastModifiedBy>greatwall</cp:lastModifiedBy>
  <dcterms:modified xsi:type="dcterms:W3CDTF">2022-03-10T09:30:05Z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