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tbl>
      <w:tblPr>
        <w:tblStyle w:val="2"/>
        <w:tblW w:w="8448" w:type="dxa"/>
        <w:jc w:val="center"/>
        <w:tblLayout w:type="fixed"/>
        <w:tblCellMar>
          <w:top w:w="15" w:type="dxa"/>
          <w:left w:w="15" w:type="dxa"/>
          <w:bottom w:w="15" w:type="dxa"/>
          <w:right w:w="15" w:type="dxa"/>
        </w:tblCellMar>
      </w:tblPr>
      <w:tblGrid>
        <w:gridCol w:w="1203"/>
        <w:gridCol w:w="3407"/>
        <w:gridCol w:w="1204"/>
        <w:gridCol w:w="1431"/>
        <w:gridCol w:w="1203"/>
      </w:tblGrid>
      <w:tr>
        <w:tblPrEx>
          <w:tblCellMar>
            <w:top w:w="15" w:type="dxa"/>
            <w:left w:w="15" w:type="dxa"/>
            <w:bottom w:w="15" w:type="dxa"/>
            <w:right w:w="15" w:type="dxa"/>
          </w:tblCellMar>
        </w:tblPrEx>
        <w:trPr>
          <w:trHeight w:val="950" w:hRule="atLeast"/>
          <w:jc w:val="center"/>
        </w:trPr>
        <w:tc>
          <w:tcPr>
            <w:tcW w:w="8448" w:type="dxa"/>
            <w:gridSpan w:val="5"/>
            <w:tcBorders>
              <w:bottom w:val="single" w:color="auto" w:sz="4" w:space="0"/>
            </w:tcBorders>
            <w:shd w:val="clear" w:color="auto" w:fill="auto"/>
            <w:vAlign w:val="center"/>
          </w:tcPr>
          <w:p>
            <w:pPr>
              <w:autoSpaceDE w:val="0"/>
              <w:autoSpaceDN w:val="0"/>
              <w:spacing w:line="560" w:lineRule="exact"/>
              <w:jc w:val="center"/>
              <w:rPr>
                <w:rFonts w:ascii="Times New Roman" w:hAnsi="Times New Roman" w:eastAsia="方正小标宋简体" w:cs="Times New Roman"/>
                <w:color w:val="000000"/>
                <w:kern w:val="0"/>
                <w:sz w:val="36"/>
                <w:szCs w:val="36"/>
              </w:rPr>
            </w:pPr>
            <w:bookmarkStart w:id="0" w:name="_GoBack"/>
            <w:r>
              <w:rPr>
                <w:rFonts w:ascii="Times New Roman" w:hAnsi="Times New Roman" w:eastAsia="方正小标宋简体" w:cs="Times New Roman"/>
                <w:bCs/>
                <w:sz w:val="36"/>
                <w:szCs w:val="32"/>
              </w:rPr>
              <w:t>各区县（市）2022年度药物警戒与不良反应监测目标任务表</w:t>
            </w:r>
            <w:bookmarkEnd w:id="0"/>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序号</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单位名称</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药品</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医疗器械</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化妆品</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武陵区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0</w:t>
            </w:r>
            <w:r>
              <w:rPr>
                <w:rFonts w:ascii="Times New Roman" w:hAnsi="Times New Roman" w:eastAsia="仿宋_GB2312" w:cs="Times New Roman"/>
                <w:color w:val="000000" w:themeColor="text1"/>
                <w:sz w:val="28"/>
                <w:szCs w:val="28"/>
                <w14:textFill>
                  <w14:solidFill>
                    <w14:schemeClr w14:val="tx1"/>
                  </w14:solidFill>
                </w14:textFill>
              </w:rPr>
              <w:t>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50</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2</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鼎城区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600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200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3</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安乡县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themeColor="text1"/>
                <w:sz w:val="28"/>
                <w:szCs w:val="28"/>
                <w14:textFill>
                  <w14:solidFill>
                    <w14:schemeClr w14:val="tx1"/>
                  </w14:solidFill>
                </w14:textFill>
              </w:rPr>
              <w:t>400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130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30</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4</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汉寿县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570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180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5</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澧县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580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180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6</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临澧县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themeColor="text1"/>
                <w:sz w:val="28"/>
                <w:szCs w:val="28"/>
                <w14:textFill>
                  <w14:solidFill>
                    <w14:schemeClr w14:val="tx1"/>
                  </w14:solidFill>
                </w14:textFill>
              </w:rPr>
              <w:t>300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22</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7</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桃源县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600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0</w:t>
            </w:r>
            <w:r>
              <w:rPr>
                <w:rFonts w:ascii="Times New Roman" w:hAnsi="Times New Roman" w:eastAsia="仿宋_GB2312" w:cs="Times New Roman"/>
                <w:color w:val="000000" w:themeColor="text1"/>
                <w:sz w:val="28"/>
                <w:szCs w:val="28"/>
                <w14:textFill>
                  <w14:solidFill>
                    <w14:schemeClr w14:val="tx1"/>
                  </w14:solidFill>
                </w14:textFill>
              </w:rPr>
              <w:t>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50</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8</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石门县</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themeColor="text1"/>
                <w:sz w:val="28"/>
                <w:szCs w:val="28"/>
                <w14:textFill>
                  <w14:solidFill>
                    <w14:schemeClr w14:val="tx1"/>
                  </w14:solidFill>
                </w14:textFill>
              </w:rPr>
              <w:t>450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150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rPr>
              <w:t>5</w:t>
            </w:r>
          </w:p>
        </w:tc>
      </w:tr>
      <w:tr>
        <w:tblPrEx>
          <w:tblCellMar>
            <w:top w:w="15" w:type="dxa"/>
            <w:left w:w="15" w:type="dxa"/>
            <w:bottom w:w="15" w:type="dxa"/>
            <w:right w:w="15" w:type="dxa"/>
          </w:tblCellMar>
        </w:tblPrEx>
        <w:trPr>
          <w:trHeight w:val="605"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9</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津市市</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170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60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10</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西湖管理区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11</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西洞庭管理区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12</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柳叶湖旅游区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常德经济开发区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p>
        </w:tc>
      </w:tr>
      <w:tr>
        <w:tblPrEx>
          <w:tblCellMar>
            <w:top w:w="15" w:type="dxa"/>
            <w:left w:w="15" w:type="dxa"/>
            <w:bottom w:w="15" w:type="dxa"/>
            <w:right w:w="15" w:type="dxa"/>
          </w:tblCellMar>
        </w:tblPrEx>
        <w:trPr>
          <w:trHeight w:val="386" w:hRule="atLeast"/>
          <w:jc w:val="center"/>
        </w:trPr>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14</w:t>
            </w:r>
          </w:p>
        </w:tc>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桃花源风景名胜区</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p>
        </w:tc>
      </w:tr>
    </w:tbl>
    <w:p>
      <w:pPr>
        <w:spacing w:line="380" w:lineRule="exact"/>
        <w:rPr>
          <w:rFonts w:ascii="Times New Roman" w:hAnsi="Times New Roman" w:eastAsia="黑体" w:cs="Times New Roman"/>
          <w:b/>
          <w:sz w:val="32"/>
          <w:szCs w:val="32"/>
        </w:rPr>
      </w:pPr>
      <w:r>
        <w:rPr>
          <w:rFonts w:ascii="Times New Roman" w:hAnsi="Times New Roman" w:eastAsia="仿宋_GB2312" w:cs="Times New Roman"/>
          <w:sz w:val="28"/>
          <w:szCs w:val="28"/>
        </w:rPr>
        <w:t>说明：1、各区县（市）药品、医疗器械不良反应监测目标任务数根据省监管部门要求并结合常德实际按每百万人口计，个位数归整。2、药品不良反应报告严重报告数应在20%以上</w:t>
      </w:r>
      <w:r>
        <w:rPr>
          <w:rFonts w:hint="eastAsia" w:ascii="Times New Roman" w:hAnsi="Times New Roman" w:eastAsia="仿宋_GB2312" w:cs="Times New Roman"/>
          <w:sz w:val="28"/>
          <w:szCs w:val="28"/>
        </w:rPr>
        <w:t>，新的一般和严重的应在35%以上。</w:t>
      </w:r>
    </w:p>
    <w:p>
      <w:pPr>
        <w:spacing w:line="600" w:lineRule="exact"/>
        <w:rPr>
          <w:rFonts w:ascii="Times New Roman" w:hAnsi="黑体"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DA4"/>
    <w:rsid w:val="7FFF9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2022-05-07T15:45:00Z</dcterms:created>
  <dc:creator>greatwall</dc:creator>
  <cp:lastModifiedBy>greatwall</cp:lastModifiedBy>
  <dcterms:modified xsi:type="dcterms:W3CDTF">2022-05-07T15:46:02Z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