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常德市食品药品检验所</w:t>
      </w:r>
    </w:p>
    <w:p>
      <w:pPr>
        <w:pStyle w:val="1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2021年</w:t>
      </w:r>
      <w:r>
        <w:rPr>
          <w:rFonts w:hint="eastAsia" w:ascii="方正小标宋简体" w:hAnsi="方正小标宋简体" w:eastAsia="方正小标宋简体" w:cs="方正小标宋简体"/>
          <w:sz w:val="84"/>
          <w:szCs w:val="84"/>
          <w:lang w:eastAsia="zh-CN"/>
        </w:rPr>
        <w:t>度</w:t>
      </w:r>
      <w:r>
        <w:rPr>
          <w:rFonts w:hint="eastAsia" w:ascii="方正小标宋简体" w:hAnsi="方正小标宋简体" w:eastAsia="方正小标宋简体" w:cs="方正小标宋简体"/>
          <w:sz w:val="84"/>
          <w:szCs w:val="84"/>
        </w:rPr>
        <w:t>部门决算</w:t>
      </w:r>
      <w:r>
        <w:rPr>
          <w:rFonts w:hint="eastAsia" w:ascii="方正小标宋简体" w:hAnsi="方正小标宋简体" w:eastAsia="方正小标宋简体" w:cs="方正小标宋简体"/>
          <w:sz w:val="84"/>
          <w:szCs w:val="84"/>
          <w:lang w:eastAsia="zh-CN"/>
        </w:rPr>
        <w:t>公开</w:t>
      </w:r>
    </w:p>
    <w:p>
      <w:pPr>
        <w:pStyle w:val="10"/>
        <w:jc w:val="center"/>
        <w:rPr>
          <w:sz w:val="56"/>
          <w:szCs w:val="56"/>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录</w:t>
      </w:r>
    </w:p>
    <w:p>
      <w:pPr>
        <w:pStyle w:val="10"/>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10"/>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第一部</w:t>
      </w:r>
      <w:r>
        <w:rPr>
          <w:rFonts w:hint="eastAsia" w:ascii="仿宋_GB2312" w:hAnsi="仿宋_GB2312" w:eastAsia="仿宋_GB2312" w:cs="仿宋_GB2312"/>
          <w:b/>
          <w:sz w:val="28"/>
          <w:szCs w:val="28"/>
          <w:lang w:eastAsia="zh-CN"/>
        </w:rPr>
        <w:t>分常德市食品药品检验所单位</w:t>
      </w:r>
      <w:r>
        <w:rPr>
          <w:rFonts w:hint="eastAsia" w:ascii="仿宋_GB2312" w:hAnsi="仿宋_GB2312" w:eastAsia="仿宋_GB2312" w:cs="仿宋_GB2312"/>
          <w:b/>
          <w:sz w:val="28"/>
          <w:szCs w:val="28"/>
        </w:rPr>
        <w:t>概况</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第二部分2021年度部门决算表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第三部分2021年度部门决算情况说明</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十一、政府采购支出说明</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十二、国有资产占用情况说明</w:t>
      </w:r>
    </w:p>
    <w:p>
      <w:pPr>
        <w:pStyle w:val="10"/>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第五部分附件</w:t>
      </w: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 xml:space="preserve">第一部分 </w:t>
      </w:r>
    </w:p>
    <w:p>
      <w:pPr>
        <w:pStyle w:val="10"/>
        <w:jc w:val="center"/>
        <w:rPr>
          <w:rFonts w:hint="eastAsia" w:ascii="方正小标宋简体" w:hAnsi="方正小标宋简体" w:eastAsia="方正小标宋简体" w:cs="方正小标宋简体"/>
          <w:sz w:val="84"/>
          <w:szCs w:val="84"/>
        </w:rPr>
      </w:pPr>
    </w:p>
    <w:p>
      <w:pPr>
        <w:pStyle w:val="1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eastAsia="zh-CN"/>
        </w:rPr>
        <w:t>常德市食品药品检验所</w:t>
      </w:r>
      <w:r>
        <w:rPr>
          <w:rFonts w:hint="eastAsia" w:ascii="方正小标宋简体" w:hAnsi="方正小标宋简体" w:eastAsia="方正小标宋简体" w:cs="方正小标宋简体"/>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rPr>
      </w:pPr>
    </w:p>
    <w:p>
      <w:pPr>
        <w:pStyle w:val="11"/>
        <w:keepNext w:val="0"/>
        <w:keepLines w:val="0"/>
        <w:pageBreakBefore w:val="0"/>
        <w:kinsoku/>
        <w:wordWrap/>
        <w:overflowPunct/>
        <w:topLinePunct w:val="0"/>
        <w:autoSpaceDE/>
        <w:autoSpaceDN/>
        <w:bidi w:val="0"/>
        <w:adjustRightInd/>
        <w:snapToGrid/>
        <w:spacing w:line="600" w:lineRule="exact"/>
        <w:ind w:left="720" w:right="0" w:rightChars="0" w:firstLine="0" w:firstLineChars="0"/>
        <w:jc w:val="left"/>
        <w:textAlignment w:val="auto"/>
        <w:outlineLvl w:val="9"/>
        <w:rPr>
          <w:rFonts w:hint="eastAsia" w:ascii="仿宋_GB2312" w:hAnsi="仿宋_GB2312" w:eastAsia="仿宋_GB2312" w:cs="仿宋_GB2312"/>
          <w:sz w:val="32"/>
          <w:szCs w:val="32"/>
        </w:rPr>
      </w:pPr>
    </w:p>
    <w:p>
      <w:pPr>
        <w:pStyle w:val="13"/>
        <w:keepNext w:val="0"/>
        <w:keepLines w:val="0"/>
        <w:pageBreakBefore w:val="0"/>
        <w:numPr>
          <w:ilvl w:val="0"/>
          <w:numId w:val="1"/>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部门职责</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（一）负责药品、药用包材、药用辅料、化妆品、医疗器械、洁净环境等检验检测工作；依法承担药品检验结果的复验。</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（二）承担主管部门下达的抽样检测任务。</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（三）承担药品和化妆品生产、经营和使用单位的委托检验。</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（四）承担与药品、药用包材、药用辅料、医疗器械、化妆品质量有关的科研和技术服务工作，并在上级食品药品检验机构的指导下开展相关的快速检验工作。</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(五)开展对药品、医疗器械和化妆品生产、经营、使用单位质量检验机构的业务指导，培训有关专业技术人员。</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（六）负责提供辖区内药品、化妆品质量公报所需技术数据和质量分析报告；负责综合上报与反馈药品、化妆品质量检测信息。</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（七）配合市场监督管理部门开展相关监督执法和突发事件的应急处置。</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（八）开展与药品、药用包材、药用辅料、医疗器械、化妆品质量技术监督有关的交流与合作。</w:t>
      </w:r>
    </w:p>
    <w:p>
      <w:pPr>
        <w:spacing w:line="600"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（九）承办市委、市政府和市市场监督管理局交办的其他工作。</w:t>
      </w:r>
    </w:p>
    <w:p>
      <w:pPr>
        <w:pStyle w:val="13"/>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jc w:val="left"/>
        <w:textAlignment w:val="auto"/>
        <w:outlineLvl w:val="9"/>
        <w:rPr>
          <w:rFonts w:hint="default"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spacing w:line="600" w:lineRule="exact"/>
        <w:ind w:firstLine="640" w:firstLineChars="200"/>
        <w:rPr>
          <w:rFonts w:hint="eastAsia"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lang w:eastAsia="zh-CN"/>
        </w:rPr>
        <w:t>（一）内设机构设置。根据市编委办核定，常德市食品药品检验所内设科室8个，所属事业单位</w:t>
      </w:r>
      <w:r>
        <w:rPr>
          <w:rFonts w:hint="eastAsia" w:ascii="仿宋" w:hAnsi="仿宋" w:eastAsia="仿宋" w:cs="仿宋"/>
          <w:bCs/>
          <w:color w:val="000000"/>
          <w:kern w:val="0"/>
          <w:sz w:val="32"/>
          <w:szCs w:val="32"/>
          <w:lang w:val="en-US" w:eastAsia="zh-CN"/>
        </w:rPr>
        <w:t>0个，全部纳入2021年部门决算编制范围。</w:t>
      </w:r>
    </w:p>
    <w:p>
      <w:pPr>
        <w:spacing w:line="600" w:lineRule="exact"/>
        <w:ind w:firstLine="640" w:firstLineChars="200"/>
        <w:rPr>
          <w:rFonts w:hint="eastAsia" w:ascii="仿宋" w:hAnsi="仿宋" w:eastAsia="仿宋" w:cs="仿宋"/>
          <w:bCs/>
          <w:color w:val="000000"/>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 w:hAnsi="仿宋" w:eastAsia="仿宋" w:cs="仿宋"/>
          <w:bCs/>
          <w:color w:val="000000"/>
          <w:kern w:val="0"/>
          <w:sz w:val="32"/>
          <w:szCs w:val="32"/>
          <w:lang w:val="en-US" w:eastAsia="zh-CN"/>
        </w:rPr>
        <w:t>内设科室分别是：</w:t>
      </w:r>
      <w:r>
        <w:rPr>
          <w:rFonts w:hint="eastAsia" w:ascii="仿宋" w:hAnsi="仿宋" w:eastAsia="仿宋" w:cs="仿宋"/>
          <w:bCs/>
          <w:color w:val="000000"/>
          <w:kern w:val="0"/>
          <w:sz w:val="32"/>
          <w:szCs w:val="32"/>
          <w:lang w:eastAsia="zh-CN"/>
        </w:rPr>
        <w:t>办公室、中药检验室、业务技术科、生化药品检验室、化学药品检验室、质量保证科、设备科、医疗器械药包材检验室。</w:t>
      </w:r>
    </w:p>
    <w:p>
      <w:pPr>
        <w:spacing w:line="600" w:lineRule="exact"/>
        <w:ind w:firstLine="640" w:firstLineChars="200"/>
        <w:rPr>
          <w:rFonts w:hint="eastAsia"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lang w:val="en-US" w:eastAsia="zh-CN"/>
        </w:rPr>
        <w:t>所属事业单位分别是：无。</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textAlignment w:val="auto"/>
        <w:outlineLvl w:val="9"/>
        <w:rPr>
          <w:rFonts w:hint="eastAsia" w:ascii="仿宋_GB2312" w:hAnsi="仿宋_GB2312" w:eastAsia="仿宋_GB2312" w:cs="仿宋_GB2312"/>
          <w:i/>
          <w:color w:val="FF0000"/>
          <w:kern w:val="0"/>
          <w:sz w:val="32"/>
          <w:szCs w:val="32"/>
          <w:lang w:val="en-US" w:eastAsia="zh-CN" w:bidi="ar-SA"/>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kern w:val="0"/>
          <w:sz w:val="32"/>
          <w:szCs w:val="32"/>
          <w:lang w:val="en-US" w:eastAsia="zh-CN" w:bidi="ar-SA"/>
        </w:rPr>
        <w:t>本单位2021年部门决算汇总公开单位构成包括：常德市食品药品检验所本级，本单位无所属二、三级预算单位，故2021年部门决算编制范围为常德市食品药品检验所本级。</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Cs/>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0"/>
        <w:jc w:val="both"/>
        <w:rPr>
          <w:sz w:val="84"/>
          <w:szCs w:val="84"/>
        </w:rPr>
      </w:pPr>
    </w:p>
    <w:p>
      <w:pPr>
        <w:pStyle w:val="1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第二部分</w:t>
      </w:r>
    </w:p>
    <w:p>
      <w:pPr>
        <w:pStyle w:val="10"/>
        <w:jc w:val="center"/>
        <w:rPr>
          <w:rFonts w:hint="eastAsia" w:ascii="方正小标宋简体" w:hAnsi="方正小标宋简体" w:eastAsia="方正小标宋简体" w:cs="方正小标宋简体"/>
          <w:sz w:val="84"/>
          <w:szCs w:val="84"/>
        </w:rPr>
      </w:pPr>
    </w:p>
    <w:p>
      <w:pPr>
        <w:pStyle w:val="1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部门决算表</w:t>
      </w:r>
    </w:p>
    <w:p>
      <w:pPr>
        <w:widowControl/>
        <w:spacing w:line="600" w:lineRule="exact"/>
        <w:rPr>
          <w:rFonts w:hint="eastAsia" w:ascii="宋体" w:hAnsi="宋体" w:cs="黑体"/>
          <w:i/>
          <w:color w:val="FF0000"/>
          <w:kern w:val="0"/>
          <w:sz w:val="32"/>
          <w:szCs w:val="32"/>
          <w:lang w:val="en-US" w:eastAsia="zh-CN" w:bidi="ar-SA"/>
        </w:rPr>
      </w:pPr>
    </w:p>
    <w:p>
      <w:pPr>
        <w:jc w:val="center"/>
        <w:rPr>
          <w:sz w:val="72"/>
          <w:szCs w:val="72"/>
        </w:rPr>
      </w:pPr>
    </w:p>
    <w:p>
      <w:pPr>
        <w:jc w:val="left"/>
        <w:rPr>
          <w:rFonts w:asciiTheme="minorEastAsia" w:hAnsiTheme="minorEastAsia"/>
          <w:sz w:val="32"/>
          <w:szCs w:val="32"/>
        </w:rPr>
        <w:sectPr>
          <w:pgSz w:w="11906" w:h="16838"/>
          <w:pgMar w:top="2154" w:right="1531" w:bottom="2154" w:left="1531" w:header="851" w:footer="992" w:gutter="0"/>
          <w:cols w:space="0" w:num="1"/>
          <w:rtlGutter w:val="0"/>
          <w:docGrid w:type="lines" w:linePitch="313" w:charSpace="0"/>
        </w:sect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8"/>
        <w:gridCol w:w="827"/>
        <w:gridCol w:w="1242"/>
        <w:gridCol w:w="4430"/>
        <w:gridCol w:w="827"/>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1,516.51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1,516.51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070" w:type="dxa"/>
            <w:gridSpan w:val="6"/>
            <w:tcBorders>
              <w:top w:val="nil"/>
              <w:left w:val="nil"/>
              <w:bottom w:val="nil"/>
              <w:right w:val="nil"/>
            </w:tcBorders>
            <w:shd w:val="clear" w:color="FFFFFF" w:themeColor="background1"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3.本表数据来源于部门决算报表Z01收入支出决算总表。</w:t>
            </w:r>
          </w:p>
        </w:tc>
      </w:tr>
    </w:tbl>
    <w:p>
      <w:pPr>
        <w:shd w:val="clear"/>
        <w:jc w:val="center"/>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rtlGutter w:val="0"/>
          <w:docGrid w:type="linesAndChars" w:linePitch="312" w:charSpace="0"/>
        </w:sectPr>
      </w:pPr>
    </w:p>
    <w:p>
      <w:pPr>
        <w:widowControl/>
        <w:shd w:val="clear"/>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w:t>
      </w:r>
    </w:p>
    <w:tbl>
      <w:tblPr>
        <w:tblStyle w:val="6"/>
        <w:tblW w:w="14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222"/>
        <w:gridCol w:w="240"/>
        <w:gridCol w:w="3498"/>
        <w:gridCol w:w="1281"/>
        <w:gridCol w:w="1209"/>
        <w:gridCol w:w="958"/>
        <w:gridCol w:w="813"/>
        <w:gridCol w:w="833"/>
        <w:gridCol w:w="1101"/>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771" w:type="dxa"/>
            <w:gridSpan w:val="11"/>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49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09"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95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0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22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49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09"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95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0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0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98"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8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498" w:type="dxa"/>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498" w:type="dxa"/>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1,516.51</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1,516.51</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b/>
                <w:bCs/>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b/>
                <w:bCs/>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b/>
                <w:bCs/>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b/>
                <w:bCs/>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1,344.93</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1,344.93</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1,327.83</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1,327.83</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111.00</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111.00</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912.45</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912.45</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4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2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95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71" w:type="dxa"/>
            <w:gridSpan w:val="11"/>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注：1.本表反映部门本年度取得的各项收入情况，细化公开到功能分类项级科目。</w:t>
            </w:r>
          </w:p>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2.本表数据来源于部门决算报表Z03收入决算表</w:t>
            </w:r>
          </w:p>
        </w:tc>
      </w:tr>
    </w:tbl>
    <w:p>
      <w:pPr>
        <w:widowControl/>
        <w:shd w:val="clear"/>
        <w:jc w:val="left"/>
        <w:rPr>
          <w:rFonts w:ascii="Times New Roman" w:hAnsi="Times New Roman" w:eastAsia="黑体" w:cs="Times New Roman"/>
          <w:bCs/>
          <w:kern w:val="0"/>
          <w:sz w:val="21"/>
          <w:szCs w:val="21"/>
        </w:rPr>
      </w:pPr>
      <w:r>
        <w:rPr>
          <w:rFonts w:hint="eastAsia" w:ascii="仿宋_GB2312" w:hAnsi="仿宋_GB2312" w:eastAsia="仿宋_GB2312" w:cs="仿宋_GB2312"/>
          <w:bCs/>
          <w:kern w:val="0"/>
          <w:sz w:val="21"/>
          <w:szCs w:val="21"/>
        </w:rPr>
        <w:br w:type="page"/>
      </w:r>
    </w:p>
    <w:tbl>
      <w:tblPr>
        <w:tblStyle w:val="6"/>
        <w:tblW w:w="15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2363"/>
        <w:gridCol w:w="222"/>
        <w:gridCol w:w="174"/>
        <w:gridCol w:w="48"/>
        <w:gridCol w:w="994"/>
        <w:gridCol w:w="1292"/>
        <w:gridCol w:w="1230"/>
        <w:gridCol w:w="1800"/>
        <w:gridCol w:w="74"/>
        <w:gridCol w:w="896"/>
        <w:gridCol w:w="650"/>
        <w:gridCol w:w="516"/>
        <w:gridCol w:w="1104"/>
        <w:gridCol w:w="63"/>
        <w:gridCol w:w="989"/>
        <w:gridCol w:w="136"/>
        <w:gridCol w:w="916"/>
        <w:gridCol w:w="867"/>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12" w:type="dxa"/>
            <w:gridSpan w:val="20"/>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gridSpan w:val="2"/>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516"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620"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620"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5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5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492" w:type="dxa"/>
            <w:gridSpan w:val="2"/>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gridSpan w:val="2"/>
            <w:tcBorders>
              <w:top w:val="nil"/>
              <w:left w:val="nil"/>
              <w:bottom w:val="nil"/>
              <w:right w:val="nil"/>
            </w:tcBorders>
            <w:shd w:val="clear" w:color="auto" w:fill="auto"/>
            <w:noWrap/>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22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516"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620"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620"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5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5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492" w:type="dxa"/>
            <w:gridSpan w:val="2"/>
            <w:tcBorders>
              <w:top w:val="nil"/>
              <w:left w:val="nil"/>
              <w:bottom w:val="nil"/>
              <w:right w:val="nil"/>
            </w:tcBorders>
            <w:shd w:val="clear" w:color="auto" w:fill="auto"/>
            <w:noWrap/>
            <w:vAlign w:val="bottom"/>
          </w:tcPr>
          <w:p>
            <w:pPr>
              <w:keepNext w:val="0"/>
              <w:keepLines w:val="0"/>
              <w:widowControl/>
              <w:suppressLineNumbers w:val="0"/>
              <w:shd w:val="clear"/>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金额单位：</w:t>
            </w:r>
          </w:p>
          <w:p>
            <w:pPr>
              <w:keepNext w:val="0"/>
              <w:keepLines w:val="0"/>
              <w:widowControl/>
              <w:suppressLineNumbers w:val="0"/>
              <w:shd w:val="clear"/>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0" w:type="dxa"/>
            <w:gridSpan w:val="3"/>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0"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52"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52"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92"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516" w:type="dxa"/>
            <w:gridSpan w:val="3"/>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4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3516" w:type="dxa"/>
            <w:gridSpan w:val="3"/>
            <w:vMerge w:val="continue"/>
            <w:tcBorders>
              <w:top w:val="nil"/>
              <w:left w:val="nil"/>
              <w:bottom w:val="single" w:color="000000" w:sz="4" w:space="0"/>
              <w:right w:val="single" w:color="000000" w:sz="4" w:space="0"/>
            </w:tcBorders>
            <w:shd w:val="clear" w:color="auto" w:fill="FFFFFF" w:themeFill="background1"/>
            <w:noWrap/>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4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3516" w:type="dxa"/>
            <w:gridSpan w:val="3"/>
            <w:vMerge w:val="continue"/>
            <w:tcBorders>
              <w:top w:val="nil"/>
              <w:left w:val="nil"/>
              <w:bottom w:val="single" w:color="000000" w:sz="4" w:space="0"/>
              <w:right w:val="single" w:color="000000" w:sz="4" w:space="0"/>
            </w:tcBorders>
            <w:shd w:val="clear" w:color="auto" w:fill="FFFFFF" w:themeFill="background1"/>
            <w:noWrap/>
            <w:vAlign w:val="center"/>
          </w:tcPr>
          <w:p>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05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4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8"/>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2"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2"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2"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76" w:type="dxa"/>
            <w:gridSpan w:val="8"/>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1,574.43</w:t>
            </w:r>
          </w:p>
        </w:tc>
        <w:tc>
          <w:tcPr>
            <w:tcW w:w="1620"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678.23</w:t>
            </w:r>
          </w:p>
        </w:tc>
        <w:tc>
          <w:tcPr>
            <w:tcW w:w="1620"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896.20</w:t>
            </w:r>
          </w:p>
        </w:tc>
        <w:tc>
          <w:tcPr>
            <w:tcW w:w="105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b/>
                <w:bCs/>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b/>
                <w:bCs/>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16"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1,402.85</w:t>
            </w:r>
          </w:p>
        </w:tc>
        <w:tc>
          <w:tcPr>
            <w:tcW w:w="1620"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506.65</w:t>
            </w:r>
          </w:p>
        </w:tc>
        <w:tc>
          <w:tcPr>
            <w:tcW w:w="1620"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896.20</w:t>
            </w:r>
          </w:p>
        </w:tc>
        <w:tc>
          <w:tcPr>
            <w:tcW w:w="105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FFFFFF" w:themeFill="background1"/>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1,385.75</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506.65</w:t>
            </w:r>
          </w:p>
        </w:tc>
        <w:tc>
          <w:tcPr>
            <w:tcW w:w="16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879.10</w:t>
            </w: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1620"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6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944.75</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202.28</w:t>
            </w:r>
          </w:p>
        </w:tc>
        <w:tc>
          <w:tcPr>
            <w:tcW w:w="16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742.48</w:t>
            </w: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620"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6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620"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6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1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620"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05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492"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412" w:type="dxa"/>
            <w:gridSpan w:val="20"/>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注：1.本表反映部门本年度各项支出情况，细化公开到功能分类项级科目。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2.本表数据来源于部门决算报表Z04支出决算表。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90" w:hRule="atLeast"/>
        </w:trPr>
        <w:tc>
          <w:tcPr>
            <w:tcW w:w="14334" w:type="dxa"/>
            <w:gridSpan w:val="18"/>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方正小标宋简体" w:hAnsi="方正小标宋简体" w:eastAsia="方正小标宋简体" w:cs="方正小标宋简体"/>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255" w:hRule="atLeast"/>
        </w:trPr>
        <w:tc>
          <w:tcPr>
            <w:tcW w:w="2759" w:type="dxa"/>
            <w:gridSpan w:val="3"/>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104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9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104"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9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66"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67"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908" w:type="dxa"/>
            <w:gridSpan w:val="4"/>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255" w:hRule="atLeast"/>
        </w:trPr>
        <w:tc>
          <w:tcPr>
            <w:tcW w:w="3801" w:type="dxa"/>
            <w:gridSpan w:val="5"/>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129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104" w:type="dxa"/>
            <w:gridSpan w:val="3"/>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89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66"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67"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2908" w:type="dxa"/>
            <w:gridSpan w:val="4"/>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5093" w:type="dxa"/>
            <w:gridSpan w:val="6"/>
            <w:tcBorders>
              <w:top w:val="single" w:color="000000" w:sz="4" w:space="0"/>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41" w:type="dxa"/>
            <w:gridSpan w:val="12"/>
            <w:tcBorders>
              <w:top w:val="single" w:color="000000" w:sz="4" w:space="0"/>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292" w:hRule="atLeast"/>
        </w:trPr>
        <w:tc>
          <w:tcPr>
            <w:tcW w:w="2759" w:type="dxa"/>
            <w:gridSpan w:val="3"/>
            <w:vMerge w:val="restart"/>
            <w:tcBorders>
              <w:top w:val="nil"/>
              <w:left w:val="single" w:color="000000" w:sz="4" w:space="0"/>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42" w:type="dxa"/>
            <w:gridSpan w:val="2"/>
            <w:vMerge w:val="restart"/>
            <w:tcBorders>
              <w:top w:val="nil"/>
              <w:left w:val="nil"/>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2" w:type="dxa"/>
            <w:vMerge w:val="restart"/>
            <w:tcBorders>
              <w:top w:val="nil"/>
              <w:left w:val="nil"/>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04" w:type="dxa"/>
            <w:gridSpan w:val="3"/>
            <w:vMerge w:val="restart"/>
            <w:tcBorders>
              <w:top w:val="nil"/>
              <w:left w:val="nil"/>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6" w:type="dxa"/>
            <w:vMerge w:val="restart"/>
            <w:tcBorders>
              <w:top w:val="nil"/>
              <w:left w:val="nil"/>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6" w:type="dxa"/>
            <w:gridSpan w:val="2"/>
            <w:vMerge w:val="restart"/>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7" w:type="dxa"/>
            <w:gridSpan w:val="2"/>
            <w:vMerge w:val="restart"/>
            <w:tcBorders>
              <w:top w:val="nil"/>
              <w:left w:val="nil"/>
              <w:bottom w:val="single" w:color="000000" w:sz="4" w:space="0"/>
              <w:right w:val="single" w:color="000000" w:sz="4" w:space="0"/>
            </w:tcBorders>
            <w:shd w:val="clear" w:color="FFFFFF" w:themeColor="background1"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615" w:hRule="atLeast"/>
        </w:trPr>
        <w:tc>
          <w:tcPr>
            <w:tcW w:w="2759" w:type="dxa"/>
            <w:gridSpan w:val="3"/>
            <w:vMerge w:val="continue"/>
            <w:tcBorders>
              <w:top w:val="nil"/>
              <w:left w:val="single" w:color="000000" w:sz="4" w:space="0"/>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1042" w:type="dxa"/>
            <w:gridSpan w:val="2"/>
            <w:vMerge w:val="continue"/>
            <w:tcBorders>
              <w:top w:val="nil"/>
              <w:left w:val="nil"/>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1292" w:type="dxa"/>
            <w:vMerge w:val="continue"/>
            <w:tcBorders>
              <w:top w:val="nil"/>
              <w:left w:val="nil"/>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3104" w:type="dxa"/>
            <w:gridSpan w:val="3"/>
            <w:vMerge w:val="continue"/>
            <w:tcBorders>
              <w:top w:val="nil"/>
              <w:left w:val="nil"/>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896" w:type="dxa"/>
            <w:vMerge w:val="continue"/>
            <w:tcBorders>
              <w:top w:val="nil"/>
              <w:left w:val="nil"/>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1166" w:type="dxa"/>
            <w:gridSpan w:val="2"/>
            <w:vMerge w:val="continue"/>
            <w:tcBorders>
              <w:top w:val="nil"/>
              <w:left w:val="nil"/>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i w:val="0"/>
                <w:iCs w:val="0"/>
                <w:color w:val="000000"/>
                <w:sz w:val="22"/>
                <w:szCs w:val="22"/>
                <w:u w:val="none"/>
              </w:rPr>
            </w:pPr>
          </w:p>
        </w:tc>
        <w:tc>
          <w:tcPr>
            <w:tcW w:w="1167" w:type="dxa"/>
            <w:gridSpan w:val="2"/>
            <w:vMerge w:val="continue"/>
            <w:tcBorders>
              <w:top w:val="nil"/>
              <w:left w:val="nil"/>
              <w:bottom w:val="single" w:color="000000" w:sz="4" w:space="0"/>
              <w:right w:val="single" w:color="000000" w:sz="4" w:space="0"/>
            </w:tcBorders>
            <w:shd w:val="clear" w:color="FFFFFF" w:themeColor="background1" w:fill="auto"/>
            <w:vAlign w:val="center"/>
          </w:tcPr>
          <w:p>
            <w:pPr>
              <w:shd w:val="clear"/>
              <w:jc w:val="center"/>
              <w:rPr>
                <w:rFonts w:hint="eastAsia" w:ascii="宋体" w:hAnsi="宋体" w:eastAsia="宋体" w:cs="宋体"/>
                <w:i w:val="0"/>
                <w:iCs w:val="0"/>
                <w:color w:val="000000"/>
                <w:sz w:val="22"/>
                <w:szCs w:val="22"/>
                <w:u w:val="none"/>
              </w:rPr>
            </w:pPr>
          </w:p>
        </w:tc>
        <w:tc>
          <w:tcPr>
            <w:tcW w:w="1125" w:type="dxa"/>
            <w:gridSpan w:val="2"/>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783" w:type="dxa"/>
            <w:gridSpan w:val="2"/>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i w:val="0"/>
                <w:iCs w:val="0"/>
                <w:color w:val="000000"/>
                <w:sz w:val="22"/>
                <w:szCs w:val="22"/>
                <w:u w:val="none"/>
              </w:rPr>
            </w:pP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i w:val="0"/>
                <w:iCs w:val="0"/>
                <w:color w:val="000000"/>
                <w:sz w:val="22"/>
                <w:szCs w:val="22"/>
                <w:u w:val="none"/>
              </w:rPr>
            </w:pP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1,516.51</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1,402.85</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1,402.85</w:t>
            </w: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center"/>
              <w:rPr>
                <w:rFonts w:hint="eastAsia" w:ascii="宋体" w:hAnsi="宋体" w:eastAsia="宋体" w:cs="宋体"/>
                <w:b/>
                <w:bCs/>
                <w:i w:val="0"/>
                <w:iCs w:val="0"/>
                <w:color w:val="000000"/>
                <w:sz w:val="20"/>
                <w:szCs w:val="20"/>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0"/>
                <w:szCs w:val="20"/>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0"/>
                <w:szCs w:val="20"/>
                <w:u w:val="none"/>
              </w:rPr>
            </w:pP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1,516.51</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57.92</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57.92</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shd w:val="clear"/>
              <w:jc w:val="lef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308" w:hRule="atLeast"/>
        </w:trPr>
        <w:tc>
          <w:tcPr>
            <w:tcW w:w="2759" w:type="dxa"/>
            <w:gridSpan w:val="3"/>
            <w:tcBorders>
              <w:top w:val="nil"/>
              <w:left w:val="single" w:color="000000" w:sz="4" w:space="0"/>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42"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2"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3104" w:type="dxa"/>
            <w:gridSpan w:val="3"/>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96" w:type="dxa"/>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66"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1167" w:type="dxa"/>
            <w:gridSpan w:val="2"/>
            <w:tcBorders>
              <w:top w:val="nil"/>
              <w:left w:val="nil"/>
              <w:bottom w:val="single" w:color="000000" w:sz="4" w:space="0"/>
              <w:right w:val="single" w:color="000000" w:sz="4" w:space="0"/>
            </w:tcBorders>
            <w:shd w:val="clear" w:color="FFFFFF" w:themeColor="background1"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1,574.43</w:t>
            </w:r>
          </w:p>
        </w:tc>
        <w:tc>
          <w:tcPr>
            <w:tcW w:w="1125" w:type="dxa"/>
            <w:gridSpan w:val="2"/>
            <w:tcBorders>
              <w:top w:val="nil"/>
              <w:left w:val="nil"/>
              <w:bottom w:val="single" w:color="000000" w:sz="4" w:space="0"/>
              <w:right w:val="single" w:color="000000" w:sz="4" w:space="0"/>
            </w:tcBorders>
            <w:shd w:val="clear" w:color="FFFFFF" w:themeColor="background1" w:fill="auto"/>
            <w:noWrap/>
            <w:vAlign w:val="center"/>
          </w:tcPr>
          <w:p>
            <w:pPr>
              <w:shd w:val="clear"/>
              <w:jc w:val="right"/>
              <w:rPr>
                <w:rFonts w:hint="eastAsia" w:ascii="宋体" w:hAnsi="宋体" w:eastAsia="宋体" w:cs="宋体"/>
                <w:i w:val="0"/>
                <w:iCs w:val="0"/>
                <w:color w:val="000000"/>
                <w:sz w:val="22"/>
                <w:szCs w:val="22"/>
                <w:u w:val="none"/>
              </w:rPr>
            </w:pPr>
          </w:p>
        </w:tc>
        <w:tc>
          <w:tcPr>
            <w:tcW w:w="1783" w:type="dxa"/>
            <w:gridSpan w:val="2"/>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53" w:type="dxa"/>
          <w:wAfter w:w="625" w:type="dxa"/>
          <w:trHeight w:val="1080" w:hRule="atLeast"/>
        </w:trPr>
        <w:tc>
          <w:tcPr>
            <w:tcW w:w="14334" w:type="dxa"/>
            <w:gridSpan w:val="18"/>
            <w:tcBorders>
              <w:top w:val="nil"/>
              <w:left w:val="nil"/>
              <w:bottom w:val="nil"/>
              <w:right w:val="nil"/>
            </w:tcBorders>
            <w:shd w:val="clear" w:color="auto" w:fill="auto"/>
            <w:vAlign w:val="center"/>
          </w:tcPr>
          <w:p>
            <w:pPr>
              <w:widowControl/>
              <w:shd w:val="clea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.本表反映部门本年度一般公共预算财政拨款、政府性基金预算财政拨款和国有资本经营预算财政拨款的总收支和年末结转结余情况。</w:t>
            </w:r>
          </w:p>
          <w:p>
            <w:pPr>
              <w:shd w:val="clear"/>
              <w:jc w:val="left"/>
              <w:rPr>
                <w:rFonts w:hint="eastAsia" w:ascii="宋体" w:hAnsi="宋体" w:eastAsia="宋体" w:cs="宋体"/>
                <w:i w:val="0"/>
                <w:iCs w:val="0"/>
                <w:color w:val="000000"/>
                <w:sz w:val="20"/>
                <w:szCs w:val="20"/>
                <w:u w:val="none"/>
              </w:rPr>
            </w:pP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2.本表数据来源于部门决算报表Z01_1财政拨款收入支出决算总表。</w:t>
            </w:r>
          </w:p>
        </w:tc>
      </w:tr>
    </w:tbl>
    <w:p>
      <w:pPr>
        <w:widowControl/>
        <w:shd w:val="clear"/>
        <w:jc w:val="left"/>
        <w:rPr>
          <w:rFonts w:hint="eastAsia" w:ascii="宋体" w:hAnsi="宋体" w:eastAsia="宋体" w:cs="宋体"/>
          <w:kern w:val="0"/>
          <w:sz w:val="24"/>
          <w:szCs w:val="24"/>
          <w:lang w:val="en-US" w:eastAsia="zh-CN"/>
        </w:rPr>
        <w:sectPr>
          <w:pgSz w:w="16838" w:h="11906" w:orient="landscape"/>
          <w:pgMar w:top="1134" w:right="720" w:bottom="720" w:left="720" w:header="851" w:footer="567" w:gutter="0"/>
          <w:pgBorders>
            <w:top w:val="none" w:sz="0" w:space="0"/>
            <w:left w:val="none" w:sz="0" w:space="0"/>
            <w:bottom w:val="none" w:sz="0" w:space="0"/>
            <w:right w:val="none" w:sz="0" w:space="0"/>
          </w:pgBorders>
          <w:cols w:space="0" w:num="1"/>
          <w:rtlGutter w:val="0"/>
          <w:docGrid w:type="lines" w:linePitch="315" w:charSpace="0"/>
        </w:sectPr>
      </w:pPr>
      <w:bookmarkStart w:id="0" w:name="RANGE!A1:F16"/>
    </w:p>
    <w:tbl>
      <w:tblPr>
        <w:tblStyle w:val="6"/>
        <w:tblW w:w="15328" w:type="dxa"/>
        <w:tblInd w:w="93" w:type="dxa"/>
        <w:tblLayout w:type="fixed"/>
        <w:tblCellMar>
          <w:top w:w="0" w:type="dxa"/>
          <w:left w:w="108" w:type="dxa"/>
          <w:bottom w:w="0" w:type="dxa"/>
          <w:right w:w="108" w:type="dxa"/>
        </w:tblCellMar>
      </w:tblPr>
      <w:tblGrid>
        <w:gridCol w:w="330"/>
        <w:gridCol w:w="330"/>
        <w:gridCol w:w="330"/>
        <w:gridCol w:w="4547"/>
        <w:gridCol w:w="3062"/>
        <w:gridCol w:w="3167"/>
        <w:gridCol w:w="3165"/>
        <w:gridCol w:w="397"/>
      </w:tblGrid>
      <w:tr>
        <w:tblPrEx>
          <w:tblCellMar>
            <w:top w:w="0" w:type="dxa"/>
            <w:left w:w="108" w:type="dxa"/>
            <w:bottom w:w="0" w:type="dxa"/>
            <w:right w:w="108" w:type="dxa"/>
          </w:tblCellMar>
        </w:tblPrEx>
        <w:trPr>
          <w:trHeight w:val="585" w:hRule="atLeast"/>
        </w:trPr>
        <w:tc>
          <w:tcPr>
            <w:tcW w:w="15328" w:type="dxa"/>
            <w:gridSpan w:val="8"/>
            <w:tcBorders>
              <w:top w:val="nil"/>
              <w:left w:val="nil"/>
              <w:bottom w:val="nil"/>
              <w:right w:val="nil"/>
            </w:tcBorders>
            <w:shd w:val="clear" w:color="auto" w:fill="auto"/>
            <w:vAlign w:val="center"/>
          </w:tcPr>
          <w:p>
            <w:pPr>
              <w:widowControl/>
              <w:shd w:val="clear"/>
              <w:jc w:val="left"/>
              <w:rPr>
                <w:rFonts w:hint="eastAsia" w:ascii="宋体" w:hAnsi="宋体" w:eastAsia="宋体" w:cs="宋体"/>
                <w:kern w:val="0"/>
                <w:sz w:val="24"/>
                <w:szCs w:val="24"/>
                <w:lang w:val="en-US" w:eastAsia="zh-CN"/>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90" w:hRule="atLeast"/>
        </w:trPr>
        <w:tc>
          <w:tcPr>
            <w:tcW w:w="14931" w:type="dxa"/>
            <w:gridSpan w:val="7"/>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255" w:hRule="atLeast"/>
        </w:trPr>
        <w:tc>
          <w:tcPr>
            <w:tcW w:w="330" w:type="dxa"/>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4547"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062"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167"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165" w:type="dxa"/>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255" w:hRule="atLeast"/>
        </w:trPr>
        <w:tc>
          <w:tcPr>
            <w:tcW w:w="8599" w:type="dxa"/>
            <w:gridSpan w:val="5"/>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3167"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3165" w:type="dxa"/>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55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9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4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4547" w:type="dxa"/>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3062"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167"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165"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4547" w:type="dxa"/>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3062"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167"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165"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553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553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1,574.43</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678.23</w:t>
            </w: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1,402.85</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506.65</w:t>
            </w: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1,385.75</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506.65</w:t>
            </w: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3167"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281.46</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944.75</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202.28</w:t>
            </w: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3167"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3167"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88.76</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5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3165"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7" w:type="dxa"/>
          <w:trHeight w:val="660" w:hRule="atLeast"/>
        </w:trPr>
        <w:tc>
          <w:tcPr>
            <w:tcW w:w="14931" w:type="dxa"/>
            <w:gridSpan w:val="7"/>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注：1.本表反映部门本年度一般公共预算财政拨款支出情况，细化公开到功能分类项级科目。</w:t>
            </w:r>
          </w:p>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2.本表数据来源于部门决算报表Z07一般公共预算财政拨款收入支出决算表。</w:t>
            </w:r>
          </w:p>
        </w:tc>
      </w:tr>
    </w:tbl>
    <w:p>
      <w:pPr>
        <w:widowControl/>
        <w:shd w:val="clear"/>
        <w:jc w:val="left"/>
        <w:rPr>
          <w:rFonts w:hint="eastAsia" w:ascii="仿宋_GB2312" w:hAnsi="仿宋_GB2312" w:eastAsia="仿宋_GB2312" w:cs="仿宋_GB2312"/>
          <w:bCs/>
          <w:kern w:val="0"/>
          <w:sz w:val="22"/>
          <w:szCs w:val="22"/>
        </w:rPr>
      </w:pPr>
    </w:p>
    <w:p>
      <w:pPr>
        <w:widowControl/>
        <w:shd w:val="clear"/>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br w:type="page"/>
      </w:r>
    </w:p>
    <w:tbl>
      <w:tblPr>
        <w:tblStyle w:val="6"/>
        <w:tblW w:w="15020"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3417"/>
        <w:gridCol w:w="1271"/>
        <w:gridCol w:w="1146"/>
        <w:gridCol w:w="1978"/>
        <w:gridCol w:w="1188"/>
        <w:gridCol w:w="766"/>
        <w:gridCol w:w="3178"/>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20" w:type="dxa"/>
            <w:gridSpan w:val="9"/>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3" w:type="dxa"/>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3417"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7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4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97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4171" w:type="dxa"/>
            <w:gridSpan w:val="2"/>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0"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1271"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4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97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4171" w:type="dxa"/>
            <w:gridSpan w:val="2"/>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49"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417"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271"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146"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978"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178"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993" w:type="dxa"/>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443.22</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116.01</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153.07</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72.91</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131.78</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88"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104.57</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766"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3178"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4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66"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3178"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3" w:type="dxa"/>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3417"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766"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3178" w:type="dxa"/>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993"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0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575.00</w:t>
            </w:r>
          </w:p>
        </w:tc>
        <w:tc>
          <w:tcPr>
            <w:tcW w:w="825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20" w:type="dxa"/>
            <w:gridSpan w:val="9"/>
            <w:tcBorders>
              <w:top w:val="nil"/>
              <w:left w:val="nil"/>
              <w:bottom w:val="nil"/>
              <w:right w:val="nil"/>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注：1.本表反映部门本年度一般公共预算财政拨款基本支出明细情况。2.本表数据来源于部门决算报表Z08_1一般公共预算财政拨款基本支出决算表</w:t>
            </w:r>
          </w:p>
        </w:tc>
      </w:tr>
    </w:tbl>
    <w:p>
      <w:pPr>
        <w:widowControl/>
        <w:shd w:val="clear"/>
        <w:jc w:val="center"/>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br w:type="page"/>
      </w:r>
    </w:p>
    <w:p>
      <w:pPr>
        <w:widowControl/>
        <w:shd w:val="clear"/>
        <w:jc w:val="center"/>
        <w:rPr>
          <w:rFonts w:hint="eastAsia" w:ascii="Times New Roman" w:hAnsi="Times New Roman" w:eastAsia="方正小标宋_GBK" w:cs="Times New Roman"/>
          <w:color w:val="000000"/>
          <w:kern w:val="0"/>
          <w:sz w:val="36"/>
          <w:szCs w:val="36"/>
        </w:rPr>
      </w:pPr>
    </w:p>
    <w:tbl>
      <w:tblPr>
        <w:tblStyle w:val="6"/>
        <w:tblW w:w="154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2"/>
        <w:gridCol w:w="1410"/>
        <w:gridCol w:w="1286"/>
        <w:gridCol w:w="1286"/>
        <w:gridCol w:w="1150"/>
        <w:gridCol w:w="1150"/>
        <w:gridCol w:w="1286"/>
        <w:gridCol w:w="1410"/>
        <w:gridCol w:w="1286"/>
        <w:gridCol w:w="1286"/>
        <w:gridCol w:w="1150"/>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31" w:type="dxa"/>
            <w:gridSpan w:val="12"/>
            <w:tcBorders>
              <w:top w:val="nil"/>
              <w:left w:val="nil"/>
              <w:bottom w:val="nil"/>
              <w:right w:val="nil"/>
            </w:tcBorders>
            <w:shd w:val="clear" w:color="auto" w:fill="auto"/>
            <w:noWrap/>
            <w:vAlign w:val="bottom"/>
          </w:tcPr>
          <w:p>
            <w:pPr>
              <w:keepNext w:val="0"/>
              <w:keepLines w:val="0"/>
              <w:widowControl/>
              <w:suppressLineNumbers w:val="0"/>
              <w:shd w:val="clear"/>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6"/>
                <w:szCs w:val="36"/>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62" w:type="dxa"/>
            <w:tcBorders>
              <w:top w:val="nil"/>
              <w:left w:val="nil"/>
              <w:bottom w:val="nil"/>
              <w:right w:val="nil"/>
            </w:tcBorders>
            <w:shd w:val="clear" w:color="auto" w:fill="auto"/>
            <w:noWrap/>
            <w:vAlign w:val="bottom"/>
          </w:tcPr>
          <w:p>
            <w:pPr>
              <w:shd w:val="clear"/>
              <w:rPr>
                <w:rFonts w:hint="eastAsia"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69" w:type="dxa"/>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2" w:type="dxa"/>
            <w:gridSpan w:val="2"/>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部门：常德市食品药品检验所</w:t>
            </w: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286"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1069" w:type="dxa"/>
            <w:tcBorders>
              <w:top w:val="nil"/>
              <w:left w:val="nil"/>
              <w:bottom w:val="nil"/>
              <w:right w:val="nil"/>
            </w:tcBorders>
            <w:shd w:val="clear" w:color="auto" w:fill="auto"/>
            <w:noWrap/>
            <w:vAlign w:val="bottom"/>
          </w:tcPr>
          <w:p>
            <w:pPr>
              <w:keepNext w:val="0"/>
              <w:keepLines w:val="0"/>
              <w:widowControl/>
              <w:suppressLineNumbers w:val="0"/>
              <w:shd w:val="clear"/>
              <w:ind w:firstLine="200" w:firstLineChars="1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30" w:type="dxa"/>
            <w:gridSpan w:val="7"/>
            <w:tcBorders>
              <w:top w:val="single" w:color="000000" w:sz="4" w:space="0"/>
              <w:left w:val="single" w:color="000000" w:sz="4" w:space="0"/>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201" w:type="dxa"/>
            <w:gridSpan w:val="5"/>
            <w:tcBorders>
              <w:top w:val="single" w:color="000000" w:sz="4" w:space="0"/>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62" w:type="dxa"/>
            <w:vMerge w:val="restart"/>
            <w:tcBorders>
              <w:top w:val="nil"/>
              <w:left w:val="single" w:color="000000" w:sz="4" w:space="0"/>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22" w:type="dxa"/>
            <w:gridSpan w:val="3"/>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0" w:type="dxa"/>
            <w:vMerge w:val="restart"/>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86" w:type="dxa"/>
            <w:vMerge w:val="restart"/>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22" w:type="dxa"/>
            <w:gridSpan w:val="3"/>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69" w:type="dxa"/>
            <w:vMerge w:val="restart"/>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662" w:type="dxa"/>
            <w:vMerge w:val="continue"/>
            <w:tcBorders>
              <w:top w:val="nil"/>
              <w:left w:val="single" w:color="000000" w:sz="4" w:space="0"/>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0" w:type="dxa"/>
            <w:vMerge w:val="continue"/>
            <w:tcBorders>
              <w:top w:val="nil"/>
              <w:left w:val="nil"/>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286" w:type="dxa"/>
            <w:vMerge w:val="continue"/>
            <w:tcBorders>
              <w:top w:val="nil"/>
              <w:left w:val="nil"/>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69" w:type="dxa"/>
            <w:vMerge w:val="continue"/>
            <w:tcBorders>
              <w:top w:val="nil"/>
              <w:left w:val="nil"/>
              <w:bottom w:val="single" w:color="000000" w:sz="4" w:space="0"/>
              <w:right w:val="single" w:color="000000" w:sz="4" w:space="0"/>
            </w:tcBorders>
            <w:shd w:val="clear" w:color="FFFFFF" w:fill="FFFFFF" w:themeFill="background1"/>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62" w:type="dxa"/>
            <w:tcBorders>
              <w:top w:val="nil"/>
              <w:left w:val="single" w:color="000000" w:sz="4" w:space="0"/>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86"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0"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9" w:type="dxa"/>
            <w:tcBorders>
              <w:top w:val="nil"/>
              <w:left w:val="nil"/>
              <w:bottom w:val="single" w:color="000000" w:sz="4" w:space="0"/>
              <w:right w:val="single" w:color="000000" w:sz="4" w:space="0"/>
            </w:tcBorders>
            <w:shd w:val="clear" w:color="FFFFFF" w:fill="FFFFFF" w:themeFill="background1"/>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6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141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w:t>
            </w:r>
          </w:p>
        </w:tc>
        <w:tc>
          <w:tcPr>
            <w:tcW w:w="12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41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069"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431" w:type="dxa"/>
            <w:gridSpan w:val="12"/>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注：1.本表反映部门本年度“三公”经费支出预决算情况。其中，预算数为“三公”经费全年预算数，反映按规定程序调整后的预算数；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决算数是包括当年一般公共预算财政拨款和以前年度结转资金安排的实际支出。</w:t>
            </w:r>
          </w:p>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2.本表数据来源于部门决算报表F03机构运行信息表。</w:t>
            </w:r>
          </w:p>
        </w:tc>
      </w:tr>
    </w:tbl>
    <w:p>
      <w:pPr>
        <w:shd w:val="clear"/>
        <w:autoSpaceDE w:val="0"/>
        <w:autoSpaceDN w:val="0"/>
        <w:adjustRightInd w:val="0"/>
        <w:ind w:left="315" w:leftChars="150"/>
        <w:jc w:val="left"/>
        <w:rPr>
          <w:rFonts w:hint="eastAsia" w:asciiTheme="minorEastAsia" w:hAnsiTheme="minorEastAsia" w:eastAsiaTheme="minorEastAsia" w:cstheme="minorEastAsia"/>
          <w:kern w:val="0"/>
          <w:sz w:val="24"/>
          <w:szCs w:val="24"/>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shd w:val="clear"/>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政府性基金预算财政拨款收入支出决算表</w:t>
      </w:r>
    </w:p>
    <w:p>
      <w:pPr>
        <w:widowControl/>
        <w:ind w:firstLine="420" w:firstLineChars="200"/>
        <w:jc w:val="both"/>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部门：  </w:t>
      </w:r>
      <w:r>
        <w:rPr>
          <w:rFonts w:hint="eastAsia" w:ascii="仿宋_GB2312" w:hAnsi="仿宋_GB2312" w:eastAsia="仿宋_GB2312" w:cs="仿宋_GB2312"/>
          <w:color w:val="000000"/>
          <w:kern w:val="0"/>
          <w:szCs w:val="21"/>
          <w:lang w:eastAsia="zh-CN"/>
        </w:rPr>
        <w:t>常德市食品药品检验所</w:t>
      </w:r>
      <w:r>
        <w:rPr>
          <w:rFonts w:hint="eastAsia"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公开08表</w:t>
      </w:r>
    </w:p>
    <w:p>
      <w:pPr>
        <w:widowControl/>
        <w:wordWrap w:val="0"/>
        <w:jc w:val="righ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金额</w:t>
      </w:r>
      <w:r>
        <w:rPr>
          <w:rFonts w:hint="eastAsia" w:ascii="仿宋_GB2312" w:hAnsi="仿宋_GB2312" w:eastAsia="仿宋_GB2312" w:cs="仿宋_GB2312"/>
          <w:color w:val="000000"/>
          <w:kern w:val="0"/>
          <w:szCs w:val="21"/>
        </w:rPr>
        <w:t>单位：万元</w:t>
      </w:r>
      <w:r>
        <w:rPr>
          <w:rFonts w:hint="eastAsia" w:ascii="仿宋_GB2312" w:hAnsi="仿宋_GB2312" w:eastAsia="仿宋_GB2312" w:cs="仿宋_GB2312"/>
          <w:color w:val="000000"/>
          <w:kern w:val="0"/>
          <w:szCs w:val="21"/>
          <w:lang w:val="en-US" w:eastAsia="zh-CN"/>
        </w:rPr>
        <w:t xml:space="preserve">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项 </w:t>
            </w:r>
            <w:r>
              <w:rPr>
                <w:rFonts w:hint="eastAsia" w:ascii="仿宋_GB2312" w:hAnsi="仿宋_GB2312" w:eastAsia="仿宋_GB2312" w:cs="仿宋_GB2312"/>
                <w:b/>
                <w:color w:val="000000"/>
                <w:kern w:val="0"/>
                <w:szCs w:val="21"/>
              </w:rPr>
              <w:t xml:space="preserve">   </w:t>
            </w:r>
            <w:r>
              <w:rPr>
                <w:rFonts w:hint="eastAsia" w:ascii="仿宋_GB2312" w:hAnsi="仿宋_GB2312" w:eastAsia="仿宋_GB2312" w:cs="仿宋_GB2312"/>
                <w:b/>
                <w:kern w:val="0"/>
                <w:szCs w:val="21"/>
              </w:rPr>
              <w:t>目</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年初结转和结余</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本年收入</w:t>
            </w:r>
          </w:p>
        </w:tc>
        <w:tc>
          <w:tcPr>
            <w:tcW w:w="6000" w:type="dxa"/>
            <w:gridSpan w:val="3"/>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本年支出</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功能分类科目编码</w:t>
            </w:r>
          </w:p>
        </w:tc>
        <w:tc>
          <w:tcPr>
            <w:tcW w:w="132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科目名称</w:t>
            </w:r>
          </w:p>
        </w:tc>
        <w:tc>
          <w:tcPr>
            <w:tcW w:w="2000" w:type="dxa"/>
            <w:vMerge w:val="continue"/>
            <w:vAlign w:val="center"/>
          </w:tcPr>
          <w:p>
            <w:pPr>
              <w:widowControl/>
              <w:jc w:val="left"/>
              <w:rPr>
                <w:rFonts w:hint="eastAsia" w:ascii="仿宋_GB2312" w:hAnsi="仿宋_GB2312" w:eastAsia="仿宋_GB2312" w:cs="仿宋_GB2312"/>
                <w:b/>
                <w:kern w:val="0"/>
                <w:szCs w:val="21"/>
              </w:rPr>
            </w:pPr>
          </w:p>
        </w:tc>
        <w:tc>
          <w:tcPr>
            <w:tcW w:w="2000" w:type="dxa"/>
            <w:vMerge w:val="continue"/>
            <w:vAlign w:val="center"/>
          </w:tcPr>
          <w:p>
            <w:pPr>
              <w:widowControl/>
              <w:jc w:val="left"/>
              <w:rPr>
                <w:rFonts w:hint="eastAsia" w:ascii="仿宋_GB2312" w:hAnsi="仿宋_GB2312" w:eastAsia="仿宋_GB2312" w:cs="仿宋_GB2312"/>
                <w:b/>
                <w:kern w:val="0"/>
                <w:szCs w:val="21"/>
              </w:rPr>
            </w:pP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小计</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基本支出  </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项目支出</w:t>
            </w:r>
          </w:p>
        </w:tc>
        <w:tc>
          <w:tcPr>
            <w:tcW w:w="2000" w:type="dxa"/>
            <w:vMerge w:val="continue"/>
            <w:vAlign w:val="center"/>
          </w:tcPr>
          <w:p>
            <w:pPr>
              <w:widowControl/>
              <w:jc w:val="left"/>
              <w:rPr>
                <w:rFonts w:hint="eastAsia" w:ascii="仿宋_GB2312" w:hAnsi="仿宋_GB2312" w:eastAsia="仿宋_GB2312" w:cs="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仿宋_GB2312" w:hAnsi="仿宋_GB2312" w:eastAsia="仿宋_GB2312" w:cs="仿宋_GB2312"/>
                <w:kern w:val="0"/>
                <w:szCs w:val="21"/>
              </w:rPr>
            </w:pPr>
          </w:p>
        </w:tc>
        <w:tc>
          <w:tcPr>
            <w:tcW w:w="132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仿宋_GB2312" w:hAnsi="仿宋_GB2312" w:eastAsia="仿宋_GB2312" w:cs="仿宋_GB2312"/>
                <w:kern w:val="0"/>
                <w:szCs w:val="21"/>
              </w:rPr>
            </w:pPr>
          </w:p>
        </w:tc>
        <w:tc>
          <w:tcPr>
            <w:tcW w:w="132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栏次</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4"/>
                <w:szCs w:val="24"/>
              </w:rPr>
              <w:t>本单位没有政府性基金收入，也没有使用政府性基金</w:t>
            </w:r>
            <w:r>
              <w:rPr>
                <w:rFonts w:hint="eastAsia" w:ascii="仿宋_GB2312" w:hAnsi="仿宋_GB2312" w:eastAsia="仿宋_GB2312" w:cs="仿宋_GB2312"/>
                <w:kern w:val="0"/>
                <w:sz w:val="24"/>
                <w:szCs w:val="24"/>
                <w:lang w:eastAsia="zh-CN"/>
              </w:rPr>
              <w:t>收入</w:t>
            </w:r>
            <w:r>
              <w:rPr>
                <w:rFonts w:hint="eastAsia" w:ascii="仿宋_GB2312" w:hAnsi="仿宋_GB2312" w:eastAsia="仿宋_GB2312" w:cs="仿宋_GB2312"/>
                <w:kern w:val="0"/>
                <w:sz w:val="24"/>
                <w:szCs w:val="24"/>
              </w:rPr>
              <w:t>安排的支出，故本表无数据。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bl>
    <w:p>
      <w:pPr>
        <w:widowControl/>
        <w:ind w:firstLine="48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 w:val="24"/>
          <w:szCs w:val="24"/>
        </w:rPr>
        <w:t>注：</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.本表反映部门本年度政府性基金预算财政拨款收入、支出及结转和结余情况</w:t>
      </w:r>
      <w:r>
        <w:rPr>
          <w:rFonts w:hint="eastAsia" w:ascii="仿宋_GB2312" w:hAnsi="仿宋_GB2312" w:eastAsia="仿宋_GB2312" w:cs="仿宋_GB2312"/>
          <w:kern w:val="0"/>
          <w:sz w:val="24"/>
          <w:szCs w:val="24"/>
          <w:lang w:eastAsia="zh-CN"/>
        </w:rPr>
        <w:t>，细化公开到功能分类项级科目。</w:t>
      </w:r>
    </w:p>
    <w:p>
      <w:pPr>
        <w:widowControl/>
        <w:numPr>
          <w:ilvl w:val="0"/>
          <w:numId w:val="2"/>
        </w:numPr>
        <w:ind w:left="1560" w:leftChars="0" w:firstLine="0" w:firstLineChars="0"/>
        <w:jc w:val="left"/>
        <w:rPr>
          <w:rFonts w:hint="eastAsia" w:ascii="仿宋_GB2312" w:hAnsi="仿宋_GB2312" w:eastAsia="仿宋_GB2312" w:cs="仿宋_GB2312"/>
          <w:szCs w:val="21"/>
        </w:rPr>
      </w:pPr>
      <w:r>
        <w:rPr>
          <w:rFonts w:hint="eastAsia" w:ascii="仿宋_GB2312" w:hAnsi="仿宋_GB2312" w:eastAsia="仿宋_GB2312" w:cs="仿宋_GB2312"/>
          <w:kern w:val="0"/>
          <w:sz w:val="24"/>
          <w:szCs w:val="24"/>
          <w:lang w:eastAsia="zh-CN"/>
        </w:rPr>
        <w:t>本表数据来源于部门决算报表Z09政府性基金预算财政拨款收入支出决算表。</w:t>
      </w:r>
    </w:p>
    <w:p>
      <w:pPr>
        <w:widowControl/>
        <w:numPr>
          <w:ilvl w:val="0"/>
          <w:numId w:val="2"/>
        </w:numPr>
        <w:ind w:left="1560" w:leftChars="0" w:firstLine="0" w:firstLineChars="0"/>
        <w:jc w:val="left"/>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tbl>
      <w:tblPr>
        <w:tblStyle w:val="6"/>
        <w:tblW w:w="14190" w:type="dxa"/>
        <w:jc w:val="center"/>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jc w:val="center"/>
        </w:trPr>
        <w:tc>
          <w:tcPr>
            <w:tcW w:w="14190" w:type="dxa"/>
            <w:gridSpan w:val="9"/>
            <w:tcBorders>
              <w:top w:val="nil"/>
              <w:left w:val="nil"/>
              <w:bottom w:val="nil"/>
              <w:right w:val="nil"/>
            </w:tcBorders>
            <w:shd w:val="clear" w:color="000000" w:fill="FFFFFF"/>
            <w:vAlign w:val="center"/>
          </w:tcPr>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6"/>
                <w:szCs w:val="36"/>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60"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25" w:type="dxa"/>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620" w:type="dxa"/>
            <w:gridSpan w:val="2"/>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510"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公开09表</w:t>
            </w:r>
          </w:p>
        </w:tc>
      </w:tr>
      <w:tr>
        <w:tblPrEx>
          <w:tblCellMar>
            <w:top w:w="0" w:type="dxa"/>
            <w:left w:w="108" w:type="dxa"/>
            <w:bottom w:w="0" w:type="dxa"/>
            <w:right w:w="108" w:type="dxa"/>
          </w:tblCellMar>
        </w:tblPrEx>
        <w:trPr>
          <w:trHeight w:val="285" w:hRule="atLeast"/>
          <w:jc w:val="center"/>
        </w:trPr>
        <w:tc>
          <w:tcPr>
            <w:tcW w:w="4835" w:type="dxa"/>
            <w:gridSpan w:val="4"/>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rPr>
              <w:t>部门：</w:t>
            </w:r>
            <w:r>
              <w:rPr>
                <w:rFonts w:hint="eastAsia" w:ascii="仿宋_GB2312" w:hAnsi="仿宋_GB2312" w:eastAsia="仿宋_GB2312" w:cs="仿宋_GB2312"/>
                <w:color w:val="000000"/>
                <w:kern w:val="0"/>
                <w:sz w:val="22"/>
                <w:szCs w:val="22"/>
                <w:lang w:eastAsia="zh-CN"/>
              </w:rPr>
              <w:t>常德市食品药品检验所</w:t>
            </w:r>
          </w:p>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25" w:type="dxa"/>
            <w:tcBorders>
              <w:top w:val="nil"/>
              <w:left w:val="nil"/>
              <w:bottom w:val="single" w:color="auto" w:sz="8" w:space="0"/>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510"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单位：万元</w:t>
            </w:r>
          </w:p>
        </w:tc>
      </w:tr>
      <w:tr>
        <w:trPr>
          <w:trHeight w:val="402" w:hRule="atLeast"/>
          <w:jc w:val="center"/>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项 </w:t>
            </w:r>
            <w:r>
              <w:rPr>
                <w:rFonts w:hint="eastAsia" w:ascii="仿宋_GB2312" w:hAnsi="仿宋_GB2312" w:eastAsia="仿宋_GB2312" w:cs="仿宋_GB2312"/>
                <w:color w:val="000000"/>
                <w:kern w:val="0"/>
                <w:sz w:val="22"/>
                <w:szCs w:val="22"/>
              </w:rPr>
              <w:t xml:space="preserve">   </w:t>
            </w:r>
            <w:r>
              <w:rPr>
                <w:rFonts w:hint="eastAsia" w:ascii="仿宋_GB2312" w:hAnsi="仿宋_GB2312" w:eastAsia="仿宋_GB2312" w:cs="仿宋_GB2312"/>
                <w:kern w:val="0"/>
                <w:sz w:val="22"/>
                <w:szCs w:val="22"/>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本年支出</w:t>
            </w:r>
          </w:p>
        </w:tc>
      </w:tr>
      <w:tr>
        <w:tblPrEx>
          <w:tblCellMar>
            <w:top w:w="0" w:type="dxa"/>
            <w:left w:w="108" w:type="dxa"/>
            <w:bottom w:w="0" w:type="dxa"/>
            <w:right w:w="108" w:type="dxa"/>
          </w:tblCellMar>
        </w:tblPrEx>
        <w:trPr>
          <w:trHeight w:val="402" w:hRule="atLeast"/>
          <w:jc w:val="center"/>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基本支出</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项目支出</w:t>
            </w: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r>
      <w:tr>
        <w:trPr>
          <w:trHeight w:val="402" w:hRule="atLeast"/>
          <w:jc w:val="center"/>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r>
      <w:tr>
        <w:tblPrEx>
          <w:tblCellMar>
            <w:top w:w="0" w:type="dxa"/>
            <w:left w:w="108" w:type="dxa"/>
            <w:bottom w:w="0" w:type="dxa"/>
            <w:right w:w="108" w:type="dxa"/>
          </w:tblCellMar>
        </w:tblPrEx>
        <w:trPr>
          <w:trHeight w:val="402" w:hRule="atLeast"/>
          <w:jc w:val="center"/>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4"/>
                <w:szCs w:val="24"/>
              </w:rPr>
              <w:t>本单位没有国有资本经营预算收入，也没有使用国有资本经营预算</w:t>
            </w:r>
            <w:r>
              <w:rPr>
                <w:rFonts w:hint="eastAsia" w:ascii="仿宋_GB2312" w:hAnsi="仿宋_GB2312" w:eastAsia="仿宋_GB2312" w:cs="仿宋_GB2312"/>
                <w:kern w:val="0"/>
                <w:sz w:val="24"/>
                <w:szCs w:val="24"/>
                <w:lang w:eastAsia="zh-CN"/>
              </w:rPr>
              <w:t>收入安排</w:t>
            </w:r>
            <w:r>
              <w:rPr>
                <w:rFonts w:hint="eastAsia" w:ascii="仿宋_GB2312" w:hAnsi="仿宋_GB2312" w:eastAsia="仿宋_GB2312" w:cs="仿宋_GB2312"/>
                <w:kern w:val="0"/>
                <w:sz w:val="24"/>
                <w:szCs w:val="24"/>
              </w:rPr>
              <w:t>的支出，故本表无数据。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rPr>
          <w:trHeight w:val="720" w:hRule="atLeast"/>
          <w:jc w:val="center"/>
        </w:trPr>
        <w:tc>
          <w:tcPr>
            <w:tcW w:w="14190" w:type="dxa"/>
            <w:gridSpan w:val="9"/>
            <w:tcBorders>
              <w:top w:val="single" w:color="auto" w:sz="4" w:space="0"/>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.本表反映部门本年度国有资本经营预算财政拨款支出情况</w:t>
            </w:r>
            <w:r>
              <w:rPr>
                <w:rFonts w:hint="eastAsia" w:ascii="仿宋_GB2312" w:hAnsi="仿宋_GB2312" w:eastAsia="仿宋_GB2312" w:cs="仿宋_GB2312"/>
                <w:kern w:val="0"/>
                <w:sz w:val="22"/>
                <w:szCs w:val="22"/>
                <w:lang w:eastAsia="zh-CN"/>
              </w:rPr>
              <w:t>，细化公开到功能分类项级科目。</w:t>
            </w:r>
          </w:p>
          <w:p>
            <w:pPr>
              <w:widowControl/>
              <w:numPr>
                <w:ilvl w:val="0"/>
                <w:numId w:val="0"/>
              </w:num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2</w:t>
            </w:r>
            <w:r>
              <w:rPr>
                <w:rFonts w:hint="eastAsia" w:ascii="仿宋_GB2312" w:hAnsi="仿宋_GB2312" w:eastAsia="仿宋_GB2312" w:cs="仿宋_GB2312"/>
                <w:kern w:val="0"/>
                <w:sz w:val="22"/>
                <w:szCs w:val="22"/>
              </w:rPr>
              <w:t>.本表数据来源于部门决算报表Z12国有资本经营预算财政拨款支出决算表。</w:t>
            </w:r>
          </w:p>
          <w:p>
            <w:pPr>
              <w:widowControl/>
              <w:numPr>
                <w:ilvl w:val="0"/>
                <w:numId w:val="0"/>
              </w:num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w:t>
            </w:r>
          </w:p>
        </w:tc>
      </w:tr>
    </w:tbl>
    <w:p>
      <w:pPr>
        <w:pStyle w:val="10"/>
        <w:rPr>
          <w:sz w:val="72"/>
          <w:szCs w:val="72"/>
        </w:rPr>
        <w:sectPr>
          <w:pgSz w:w="16838" w:h="11906" w:orient="landscape"/>
          <w:pgMar w:top="680" w:right="720" w:bottom="567" w:left="720" w:header="851" w:footer="567" w:gutter="0"/>
          <w:pgBorders>
            <w:top w:val="none" w:sz="0" w:space="0"/>
            <w:left w:val="none" w:sz="0" w:space="0"/>
            <w:bottom w:val="none" w:sz="0" w:space="0"/>
            <w:right w:val="none" w:sz="0" w:space="0"/>
          </w:pgBorders>
          <w:cols w:space="0" w:num="1"/>
          <w:rtlGutter w:val="0"/>
          <w:docGrid w:type="lines" w:linePitch="324"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pStyle w:val="10"/>
        <w:jc w:val="center"/>
        <w:rPr>
          <w:rFonts w:hint="eastAsia" w:ascii="方正小标宋简体" w:hAnsi="方正小标宋简体" w:eastAsia="方正小标宋简体" w:cs="方正小标宋简体"/>
          <w:sz w:val="70"/>
          <w:szCs w:val="70"/>
        </w:rPr>
      </w:pPr>
    </w:p>
    <w:p>
      <w:pPr>
        <w:pStyle w:val="10"/>
        <w:jc w:val="center"/>
        <w:rPr>
          <w:rFonts w:hint="eastAsia"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70"/>
          <w:szCs w:val="70"/>
        </w:rPr>
        <w:t>2021年度部门决算情况说明</w:t>
      </w:r>
    </w:p>
    <w:p>
      <w:pPr>
        <w:widowControl/>
        <w:jc w:val="left"/>
        <w:rPr>
          <w:rFonts w:ascii="黑体" w:eastAsia="黑体" w:cs="黑体"/>
          <w:color w:val="000000"/>
          <w:kern w:val="0"/>
          <w:sz w:val="70"/>
          <w:szCs w:val="70"/>
        </w:rPr>
      </w:pPr>
      <w:r>
        <w:rPr>
          <w:sz w:val="70"/>
          <w:szCs w:val="70"/>
        </w:rPr>
        <w:br w:type="page"/>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739.48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88.56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财政下拨技术创新平台仪器设备购置款</w:t>
      </w:r>
      <w:r>
        <w:rPr>
          <w:rFonts w:hint="eastAsia" w:ascii="仿宋_GB2312" w:hAnsi="仿宋_GB2312" w:eastAsia="仿宋_GB2312" w:cs="仿宋_GB2312"/>
          <w:sz w:val="32"/>
          <w:szCs w:val="32"/>
          <w:lang w:val="en-US" w:eastAsia="zh-CN"/>
        </w:rPr>
        <w:t>640.7万元以及2021年绩效考核奖励增加，人员经费增加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659.46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81.03</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因为支付财政下拨技术创新平台仪器设备购置款</w:t>
      </w:r>
      <w:r>
        <w:rPr>
          <w:rFonts w:hint="eastAsia" w:ascii="仿宋_GB2312" w:hAnsi="仿宋_GB2312" w:eastAsia="仿宋_GB2312" w:cs="仿宋_GB2312"/>
          <w:sz w:val="32"/>
          <w:szCs w:val="32"/>
          <w:lang w:val="en-US" w:eastAsia="zh-CN"/>
        </w:rPr>
        <w:t>640.7万元以及2021年绩效考核奖励增加，人员经费增加</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二、收入决算情况说明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2021年度收入合计</w:t>
      </w:r>
      <w:r>
        <w:rPr>
          <w:rFonts w:hint="eastAsia" w:ascii="仿宋_GB2312" w:hAnsi="仿宋_GB2312" w:eastAsia="仿宋_GB2312" w:cs="仿宋_GB2312"/>
          <w:sz w:val="32"/>
          <w:szCs w:val="32"/>
          <w:lang w:val="en-US" w:eastAsia="zh-CN"/>
        </w:rPr>
        <w:t>1516.51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1516.51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三、支出决算情况说明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2021年度支出合计</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678.23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43.08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896.20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56.92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四、财政拨款收入支出决算总体情况说明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2021年度财政拨款收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739.48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88.56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财政下拨技术创新平台仪器设备购置款</w:t>
      </w:r>
      <w:r>
        <w:rPr>
          <w:rFonts w:hint="eastAsia" w:ascii="仿宋_GB2312" w:hAnsi="仿宋_GB2312" w:eastAsia="仿宋_GB2312" w:cs="仿宋_GB2312"/>
          <w:sz w:val="32"/>
          <w:szCs w:val="32"/>
          <w:lang w:val="en-US" w:eastAsia="zh-CN"/>
        </w:rPr>
        <w:t>640.7万元以及2021年绩效考核奖励增加，人员经费增加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659.43</w:t>
      </w:r>
      <w:r>
        <w:rPr>
          <w:rFonts w:hint="eastAsia" w:ascii="仿宋_GB2312" w:hAnsi="仿宋_GB2312" w:eastAsia="仿宋_GB2312" w:cs="仿宋_GB2312"/>
          <w:sz w:val="32"/>
          <w:szCs w:val="32"/>
        </w:rPr>
        <w:t>元，增长</w:t>
      </w:r>
      <w:r>
        <w:rPr>
          <w:rFonts w:hint="eastAsia" w:ascii="仿宋_GB2312" w:hAnsi="仿宋_GB2312" w:eastAsia="仿宋_GB2312" w:cs="仿宋_GB2312"/>
          <w:sz w:val="32"/>
          <w:szCs w:val="32"/>
          <w:lang w:val="en-US" w:eastAsia="zh-CN"/>
        </w:rPr>
        <w:t>81.03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支付财政下拨技术创新平台仪器设备购置款</w:t>
      </w:r>
      <w:r>
        <w:rPr>
          <w:rFonts w:hint="eastAsia" w:ascii="仿宋_GB2312" w:hAnsi="仿宋_GB2312" w:eastAsia="仿宋_GB2312" w:cs="仿宋_GB2312"/>
          <w:sz w:val="32"/>
          <w:szCs w:val="32"/>
          <w:lang w:val="en-US" w:eastAsia="zh-CN"/>
        </w:rPr>
        <w:t>640.7万元以及2021年绩效考核奖励增加，人员经费增加</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659.43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81.03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支付财政下拨技术创新平台仪器设备购置款</w:t>
      </w:r>
      <w:r>
        <w:rPr>
          <w:rFonts w:hint="eastAsia" w:ascii="仿宋_GB2312" w:hAnsi="仿宋_GB2312" w:eastAsia="仿宋_GB2312" w:cs="仿宋_GB2312"/>
          <w:sz w:val="32"/>
          <w:szCs w:val="32"/>
          <w:lang w:val="en-US" w:eastAsia="zh-CN"/>
        </w:rPr>
        <w:t>640.7万元以及2021年绩效考核奖励增加，人员经费增加</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480" w:firstLineChars="1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（二）财政拨款支出决算结构情况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1402.85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130.62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lang w:val="en-US" w:eastAsia="zh-CN"/>
        </w:rPr>
        <w:t>40.96万元，占2.6%。</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w:t>
      </w:r>
      <w:r>
        <w:rPr>
          <w:rFonts w:hint="eastAsia" w:ascii="仿宋_GB2312" w:hAnsi="仿宋_GB2312" w:eastAsia="仿宋_GB2312" w:cs="仿宋_GB2312"/>
          <w:sz w:val="32"/>
          <w:szCs w:val="32"/>
          <w:lang w:val="en-US" w:eastAsia="zh-CN"/>
        </w:rPr>
        <w:t>722.73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1574.43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217.84</w:t>
      </w:r>
      <w:r>
        <w:rPr>
          <w:rFonts w:hint="eastAsia" w:ascii="仿宋_GB2312" w:hAnsi="仿宋_GB2312" w:eastAsia="仿宋_GB2312" w:cs="仿宋_GB2312"/>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eastAsia="zh-CN"/>
        </w:rPr>
        <w:t>——市场监督管理事务——行政运行</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：预算把在职人员经费列入事业运行，财政下达指标时，将</w:t>
      </w:r>
      <w:r>
        <w:rPr>
          <w:rFonts w:hint="eastAsia" w:ascii="仿宋_GB2312" w:hAnsi="仿宋_GB2312" w:eastAsia="仿宋_GB2312" w:cs="仿宋_GB2312"/>
          <w:sz w:val="32"/>
          <w:szCs w:val="32"/>
          <w:lang w:val="en-US" w:eastAsia="zh-CN"/>
        </w:rPr>
        <w:t>22.91万元列入行政运行。</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2、一般公共服务支出</w:t>
      </w:r>
      <w:r>
        <w:rPr>
          <w:rFonts w:hint="eastAsia" w:ascii="仿宋_GB2312" w:hAnsi="仿宋_GB2312" w:eastAsia="仿宋_GB2312" w:cs="仿宋_GB2312"/>
          <w:sz w:val="32"/>
          <w:szCs w:val="32"/>
          <w:lang w:eastAsia="zh-CN"/>
        </w:rPr>
        <w:t>——市场监督管理事务——药品事务</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%，决算数大</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预算把药品市抽专项经费列入其他市场监督管理事务，财政下达指标时，将</w:t>
      </w:r>
      <w:r>
        <w:rPr>
          <w:rFonts w:hint="eastAsia" w:ascii="仿宋_GB2312" w:hAnsi="仿宋_GB2312" w:eastAsia="仿宋_GB2312" w:cs="仿宋_GB2312"/>
          <w:sz w:val="32"/>
          <w:szCs w:val="32"/>
          <w:lang w:val="en-US" w:eastAsia="zh-CN"/>
        </w:rPr>
        <w:t>128.74万元市抽药品专项列入药品事务。</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——市场监督管理事务——事业运行。</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546.55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281.46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51.5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预算把在职人员经费及公用经费都列入事业运行，财政下达指标时候，将一部分人员经费列入行政运行和其他市场监督管理事务；</w:t>
      </w:r>
      <w:r>
        <w:rPr>
          <w:rFonts w:hint="eastAsia" w:ascii="仿宋_GB2312" w:hAnsi="仿宋_GB2312" w:eastAsia="仿宋_GB2312" w:cs="仿宋_GB2312"/>
          <w:sz w:val="32"/>
          <w:szCs w:val="32"/>
          <w:lang w:val="en-US" w:eastAsia="zh-CN"/>
        </w:rPr>
        <w:t>2.预算把离退休人员绩效考核、综治考核、文明单位奖都放在事业运行，财政下达指标时候，一部分列入职业单位离退休，一部分列入行政单位离退休。</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——市场监督管理事务——其他市场监督管理事务</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128.74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944.75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733.84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预算把在职人员经费及公用经费都列入事业运行，财政下达指标时候，将一部分人员经费列入行政运行和其他市场监督管理事务</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——其他一般公共服务支出。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机关事务局为我所配备一辆充电业务用车，财政指标下达时，列入其他一般公共服务支出</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社会保障和就业支出——行政事业单位养老支出——行政单位离退休。</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预算把离退休人员支出列入事业单位离退休，财政指标下达时，把离退休人员一部分年底绩效奖励列入行政单位离退休</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社会保障和就业支出——行政事业单位养老支出——事业单位离退休。</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88.76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809.85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：预算事业单位离退休只包含离退休费和单位发放津补贴，财政下达指标时，离退休</w:t>
      </w:r>
      <w:r>
        <w:rPr>
          <w:rFonts w:hint="eastAsia" w:ascii="仿宋_GB2312" w:hAnsi="仿宋_GB2312" w:eastAsia="仿宋_GB2312" w:cs="仿宋_GB2312"/>
          <w:sz w:val="32"/>
          <w:szCs w:val="32"/>
          <w:lang w:val="en-US" w:eastAsia="zh-CN"/>
        </w:rPr>
        <w:t>人员绩效考核、综治考核、文明单位奖一部分列入职业单位离退休，一部分列入行政单位离退休。</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社会保障和就业支出——行政事业单位养老支出——机关事业单位职业年金缴费支出。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预算职业年金缴费列入事业运行</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40" w:leftChars="0" w:right="0" w:rightChars="0" w:firstLine="80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住房保障支出——住房改革支出——住房公积金。</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预算职业年金缴费列入事业运行</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2021年度财政拨款基本支出</w:t>
      </w:r>
      <w:r>
        <w:rPr>
          <w:rFonts w:hint="eastAsia" w:ascii="仿宋_GB2312" w:hAnsi="仿宋_GB2312" w:eastAsia="仿宋_GB2312" w:cs="仿宋_GB2312"/>
          <w:sz w:val="32"/>
          <w:szCs w:val="32"/>
          <w:lang w:val="en-US" w:eastAsia="zh-CN"/>
        </w:rPr>
        <w:t>678.23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84.78</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eastAsia="zh-CN"/>
        </w:rPr>
        <w:t>绩效工资、机关事业单位养老保险缴费、职业年金缴费、职工基本医疗保险缴费、住房公积金、离休费、退休费、奖励金、其他对个人和家庭的补助</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103.23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15.22</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邮电费、物业管理费、差旅费、维修（护）费、专用材料费、劳务费、工会经费、福利费、公务用车运行维护费、其他交通费、税金及附加、其他商品和服务支出</w:t>
      </w:r>
      <w:r>
        <w:rPr>
          <w:rFonts w:hint="eastAsia" w:ascii="仿宋_GB2312" w:hAnsi="仿宋_GB2312" w:eastAsia="仿宋_GB2312" w:cs="仿宋_GB2312"/>
          <w:sz w:val="32"/>
          <w:szCs w:val="32"/>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七、一般公共预算财政拨款“三公”经费支出决算情况说明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（一）“三公”经费支出决算总体情况说明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支出预算为</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91.95</w:t>
      </w:r>
      <w:r>
        <w:rPr>
          <w:rFonts w:hint="eastAsia" w:ascii="仿宋_GB2312" w:hAnsi="仿宋_GB2312" w:eastAsia="仿宋_GB2312" w:cs="仿宋_GB2312"/>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加强公务接待支出的管控和审批，</w:t>
      </w:r>
      <w:r>
        <w:rPr>
          <w:rFonts w:hint="eastAsia" w:ascii="仿宋_GB2312" w:hAnsi="仿宋_GB2312" w:eastAsia="仿宋_GB2312" w:cs="仿宋_GB2312"/>
          <w:sz w:val="32"/>
          <w:szCs w:val="32"/>
          <w:lang w:val="en-US" w:eastAsia="zh-CN"/>
        </w:rPr>
        <w:t>2021年无公务接待支出发生，</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加强公务接待支出的管控和审批，</w:t>
      </w:r>
      <w:r>
        <w:rPr>
          <w:rFonts w:hint="eastAsia" w:ascii="仿宋_GB2312" w:hAnsi="仿宋_GB2312" w:eastAsia="仿宋_GB2312" w:cs="仿宋_GB2312"/>
          <w:sz w:val="32"/>
          <w:szCs w:val="32"/>
          <w:lang w:val="en-US" w:eastAsia="zh-CN"/>
        </w:rPr>
        <w:t>2021年无公务接待支出发生。</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机关事务局为我所配备一辆充电业务用车，价值</w:t>
      </w:r>
      <w:r>
        <w:rPr>
          <w:rFonts w:hint="eastAsia" w:ascii="仿宋_GB2312" w:hAnsi="仿宋_GB2312" w:eastAsia="仿宋_GB2312" w:cs="仿宋_GB2312"/>
          <w:sz w:val="32"/>
          <w:szCs w:val="32"/>
          <w:lang w:val="en-US" w:eastAsia="zh-CN"/>
        </w:rPr>
        <w:t>17.1万元</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i/>
          <w:color w:val="FF0000"/>
          <w:sz w:val="32"/>
          <w:szCs w:val="32"/>
          <w:highlight w:val="none"/>
          <w:lang w:val="en-US" w:eastAsia="zh-CN"/>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98.57</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严格管理公务用车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不超过财政规定的</w:t>
      </w:r>
      <w:r>
        <w:rPr>
          <w:rFonts w:hint="eastAsia" w:ascii="仿宋_GB2312" w:hAnsi="仿宋_GB2312" w:eastAsia="仿宋_GB2312" w:cs="仿宋_GB2312"/>
          <w:sz w:val="32"/>
          <w:szCs w:val="32"/>
          <w:lang w:val="en-US" w:eastAsia="zh-CN"/>
        </w:rPr>
        <w:t>3.5万元／车／年的定额标准，</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27.78</w:t>
      </w:r>
      <w:r>
        <w:rPr>
          <w:rFonts w:hint="eastAsia" w:ascii="仿宋_GB2312" w:hAnsi="仿宋_GB2312" w:eastAsia="仿宋_GB2312" w:cs="仿宋_GB2312"/>
          <w:sz w:val="32"/>
          <w:szCs w:val="32"/>
        </w:rPr>
        <w:t>%,增加的主要原因是</w:t>
      </w:r>
      <w:r>
        <w:rPr>
          <w:rFonts w:hint="eastAsia" w:ascii="仿宋_GB2312" w:hAnsi="仿宋_GB2312" w:eastAsia="仿宋_GB2312" w:cs="仿宋_GB2312"/>
          <w:sz w:val="32"/>
          <w:szCs w:val="32"/>
          <w:lang w:eastAsia="zh-CN"/>
        </w:rPr>
        <w:t>疫情过后，车辆使用频率增加，但严格管理，不超过财政规定的</w:t>
      </w:r>
      <w:r>
        <w:rPr>
          <w:rFonts w:hint="eastAsia" w:ascii="仿宋_GB2312" w:hAnsi="仿宋_GB2312" w:eastAsia="仿宋_GB2312" w:cs="仿宋_GB2312"/>
          <w:sz w:val="32"/>
          <w:szCs w:val="32"/>
          <w:lang w:val="en-US" w:eastAsia="zh-CN"/>
        </w:rPr>
        <w:t>3.5万元／车／年的定额标准</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（二）“三公”经费支出决算具体情况说明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无此项经费支出。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无此项经费支出。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常德市食品药品检验所</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车辆维修及保养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、车辆油卡充值、车辆保险等支出</w:t>
      </w:r>
      <w:r>
        <w:rPr>
          <w:rFonts w:hint="eastAsia" w:ascii="仿宋_GB2312" w:hAnsi="仿宋_GB2312" w:eastAsia="仿宋_GB2312" w:cs="仿宋_GB2312"/>
          <w:sz w:val="32"/>
          <w:szCs w:val="32"/>
        </w:rPr>
        <w:t>，截止2021年12月31日，我单位开支财政拨款的公务用车保有量为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 xml:space="preserve">     2021年度政府性基金预算财政拨款收入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lang w:eastAsia="zh-CN"/>
        </w:rPr>
        <w:t>本单位无政府性基金收支。</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九、机关运行经费支出说明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2021年度本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万元，比年初预算数增加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我单位为事业单位，无机关运行经费。</w:t>
      </w:r>
      <w:r>
        <w:rPr>
          <w:rFonts w:hint="eastAsia" w:ascii="仿宋_GB2312" w:hAnsi="仿宋_GB2312" w:eastAsia="仿宋_GB2312" w:cs="仿宋_GB2312"/>
          <w:sz w:val="32"/>
          <w:szCs w:val="32"/>
        </w:rPr>
        <w:t>比上年决算数增加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我单位为事业单位，机关运行经费为</w:t>
      </w:r>
      <w:r>
        <w:rPr>
          <w:rFonts w:hint="eastAsia" w:ascii="仿宋_GB2312" w:hAnsi="仿宋_GB2312" w:eastAsia="仿宋_GB2312" w:cs="仿宋_GB2312"/>
          <w:sz w:val="32"/>
          <w:szCs w:val="32"/>
          <w:lang w:val="en-US" w:eastAsia="zh-CN"/>
        </w:rPr>
        <w:t>0，本单位的公用经费共计103.23万元。</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十、一般性支出情况说明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万元；开支培训费</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val="en-US" w:eastAsia="zh-CN"/>
        </w:rPr>
        <w:t>1.检验员能力提升网络培训</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eastAsia="zh-CN"/>
        </w:rPr>
        <w:t>全体检验员</w:t>
      </w:r>
      <w:r>
        <w:rPr>
          <w:rFonts w:hint="eastAsia" w:ascii="仿宋_GB2312" w:hAnsi="仿宋_GB2312" w:eastAsia="仿宋_GB2312" w:cs="仿宋_GB2312"/>
          <w:sz w:val="32"/>
          <w:szCs w:val="32"/>
        </w:rPr>
        <w:t>，内容为</w:t>
      </w:r>
      <w:r>
        <w:rPr>
          <w:rFonts w:hint="eastAsia" w:ascii="仿宋_GB2312" w:hAnsi="仿宋_GB2312" w:eastAsia="仿宋_GB2312" w:cs="仿宋_GB2312"/>
          <w:sz w:val="32"/>
          <w:szCs w:val="32"/>
          <w:lang w:eastAsia="zh-CN"/>
        </w:rPr>
        <w:t>检验能力提升；</w:t>
      </w:r>
      <w:r>
        <w:rPr>
          <w:rFonts w:hint="eastAsia" w:ascii="仿宋_GB2312" w:hAnsi="仿宋_GB2312" w:eastAsia="仿宋_GB2312" w:cs="仿宋_GB2312"/>
          <w:sz w:val="32"/>
          <w:szCs w:val="32"/>
          <w:lang w:val="en-US" w:eastAsia="zh-CN"/>
        </w:rPr>
        <w:t>2.药品微生物检验网络培训，人数全体检验员，内容为药品微生物培训；3.中药质量控制培训，人数1人；4.中药中禁用农药及真菌毒素检验培训，人数1人；5.化妆品培训，人数1人；6.化妆品检测网络培训，人数全体检验员；</w:t>
      </w:r>
      <w:r>
        <w:rPr>
          <w:rFonts w:hint="eastAsia" w:ascii="仿宋_GB2312" w:hAnsi="仿宋_GB2312" w:eastAsia="仿宋_GB2312" w:cs="仿宋_GB2312"/>
          <w:sz w:val="32"/>
          <w:szCs w:val="32"/>
        </w:rPr>
        <w:t>2021年本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开支节庆、晚会、论坛、赛事等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十一、政府采购支出说明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797.53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783.76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13.77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十二、国有资产占用情况说明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辆，其他用车主要是</w:t>
      </w:r>
      <w:r>
        <w:rPr>
          <w:rFonts w:hint="eastAsia" w:ascii="仿宋_GB2312" w:hAnsi="仿宋_GB2312" w:eastAsia="仿宋_GB2312" w:cs="仿宋_GB2312"/>
          <w:sz w:val="32"/>
          <w:szCs w:val="32"/>
          <w:lang w:eastAsia="zh-CN"/>
        </w:rPr>
        <w:t>业务用车</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（1）绩效管理评价工作开展情况</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w:t>
      </w: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组织对2021年度一般公共预算项目支出全面开展绩效自评，其中，一级项目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lang w:val="en-US" w:eastAsia="zh-CN"/>
        </w:rPr>
        <w:t>128.74</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个政府性基金预算项目支出开展绩效自评，共涉及资金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万元，占政府性基金预算项目支出总额的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个国有资本经营预算项目支出开展绩效自评，共涉及资金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万元，占国有资本经营预算项目支出总额的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个项目开展了部门评价，涉及一般公共预算支出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万元，国有资本经营预算支出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万元。从评价情况来看</w:t>
      </w: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eastAsia="zh-CN"/>
        </w:rPr>
        <w:t>常德市食品药品检验所</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个单位开展整体支出绩效评价，涉及一般公共预算支出</w:t>
      </w:r>
      <w:r>
        <w:rPr>
          <w:rFonts w:hint="eastAsia" w:ascii="仿宋_GB2312" w:hAnsi="仿宋_GB2312" w:eastAsia="仿宋_GB2312" w:cs="仿宋_GB2312"/>
          <w:color w:val="000000"/>
          <w:kern w:val="0"/>
          <w:sz w:val="32"/>
          <w:szCs w:val="32"/>
          <w:lang w:val="en-US" w:eastAsia="zh-CN"/>
        </w:rPr>
        <w:t>1574.43</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万元。从评价情况来看，</w:t>
      </w:r>
      <w:r>
        <w:rPr>
          <w:rFonts w:hint="eastAsia" w:ascii="仿宋_GB2312" w:hAnsi="仿宋_GB2312" w:eastAsia="仿宋_GB2312" w:cs="仿宋_GB2312"/>
          <w:color w:val="000000"/>
          <w:kern w:val="0"/>
          <w:sz w:val="32"/>
          <w:szCs w:val="32"/>
          <w:lang w:eastAsia="zh-CN"/>
        </w:rPr>
        <w:t>评价结果为“优”，</w:t>
      </w:r>
      <w:r>
        <w:rPr>
          <w:rFonts w:hint="eastAsia" w:ascii="仿宋_GB2312" w:hAnsi="仿宋_GB2312" w:eastAsia="仿宋_GB2312" w:cs="仿宋_GB2312"/>
          <w:color w:val="000000"/>
          <w:kern w:val="0"/>
          <w:sz w:val="32"/>
          <w:szCs w:val="32"/>
          <w:lang w:val="en-US" w:eastAsia="zh-CN"/>
        </w:rPr>
        <w:t>详见第五部分附件。</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（2）部门决算中项目绩效自评结果。</w:t>
      </w:r>
    </w:p>
    <w:p>
      <w:pPr>
        <w:spacing w:line="54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“事业发展专项—药品检验专项经费”</w:t>
      </w:r>
      <w:r>
        <w:rPr>
          <w:rFonts w:hint="eastAsia" w:ascii="仿宋_GB2312" w:hAnsi="仿宋_GB2312" w:eastAsia="仿宋_GB2312" w:cs="仿宋_GB2312"/>
          <w:color w:val="000000"/>
          <w:kern w:val="0"/>
          <w:sz w:val="32"/>
          <w:szCs w:val="32"/>
        </w:rPr>
        <w:t>项目绩效自评综述：根据年初设定的绩效目标，项目绩效自评得分为</w:t>
      </w:r>
      <w:r>
        <w:rPr>
          <w:rFonts w:hint="eastAsia" w:ascii="仿宋_GB2312" w:hAnsi="仿宋_GB2312" w:eastAsia="仿宋_GB2312" w:cs="仿宋_GB2312"/>
          <w:color w:val="000000"/>
          <w:kern w:val="0"/>
          <w:sz w:val="32"/>
          <w:szCs w:val="32"/>
          <w:lang w:val="en-US" w:eastAsia="zh-CN"/>
        </w:rPr>
        <w:t>98</w:t>
      </w:r>
      <w:r>
        <w:rPr>
          <w:rFonts w:hint="eastAsia" w:ascii="仿宋_GB2312" w:hAnsi="仿宋_GB2312" w:eastAsia="仿宋_GB2312" w:cs="仿宋_GB2312"/>
          <w:color w:val="000000"/>
          <w:kern w:val="0"/>
          <w:sz w:val="32"/>
          <w:szCs w:val="32"/>
        </w:rPr>
        <w:t>分。项目全年预算数为</w:t>
      </w:r>
      <w:r>
        <w:rPr>
          <w:rFonts w:hint="eastAsia" w:ascii="仿宋_GB2312" w:hAnsi="仿宋_GB2312" w:eastAsia="仿宋_GB2312" w:cs="仿宋_GB2312"/>
          <w:color w:val="000000"/>
          <w:kern w:val="0"/>
          <w:sz w:val="32"/>
          <w:szCs w:val="32"/>
          <w:lang w:val="en-US" w:eastAsia="zh-CN"/>
        </w:rPr>
        <w:t>150.63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（含上年结转</w:t>
      </w:r>
      <w:r>
        <w:rPr>
          <w:rFonts w:hint="eastAsia" w:ascii="仿宋_GB2312" w:hAnsi="仿宋_GB2312" w:eastAsia="仿宋_GB2312" w:cs="仿宋_GB2312"/>
          <w:color w:val="000000"/>
          <w:kern w:val="0"/>
          <w:sz w:val="32"/>
          <w:szCs w:val="32"/>
          <w:lang w:val="en-US" w:eastAsia="zh-CN"/>
        </w:rPr>
        <w:t>21.89万元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，执行数为</w:t>
      </w:r>
      <w:r>
        <w:rPr>
          <w:rFonts w:hint="eastAsia" w:ascii="仿宋_GB2312" w:hAnsi="仿宋_GB2312" w:eastAsia="仿宋_GB2312" w:cs="仿宋_GB2312"/>
          <w:color w:val="000000"/>
          <w:kern w:val="0"/>
          <w:sz w:val="32"/>
          <w:szCs w:val="32"/>
          <w:lang w:val="en-US" w:eastAsia="zh-CN"/>
        </w:rPr>
        <w:t>150.63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color w:val="000000"/>
          <w:kern w:val="0"/>
          <w:sz w:val="32"/>
          <w:szCs w:val="32"/>
          <w:lang w:eastAsia="zh-CN"/>
        </w:rPr>
        <w:t>一是</w:t>
      </w:r>
      <w:r>
        <w:rPr>
          <w:rFonts w:hint="eastAsia" w:ascii="仿宋_GB2312" w:hAnsi="仿宋_GB2312" w:eastAsia="仿宋_GB2312" w:cs="仿宋_GB2312"/>
          <w:color w:val="000000"/>
          <w:kern w:val="0"/>
          <w:sz w:val="32"/>
          <w:szCs w:val="32"/>
          <w:lang w:val="en-US" w:eastAsia="zh-CN"/>
        </w:rPr>
        <w:t>药品检测准确率达到100%。</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是</w:t>
      </w:r>
      <w:r>
        <w:rPr>
          <w:rFonts w:hint="eastAsia" w:ascii="仿宋_GB2312" w:hAnsi="仿宋_GB2312" w:eastAsia="仿宋_GB2312" w:cs="仿宋_GB2312"/>
          <w:color w:val="000000"/>
          <w:kern w:val="0"/>
          <w:sz w:val="32"/>
          <w:szCs w:val="32"/>
          <w:lang w:val="en-US" w:eastAsia="zh-CN"/>
        </w:rPr>
        <w:t>成本控制在预算范围内</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三是</w:t>
      </w:r>
      <w:r>
        <w:rPr>
          <w:rFonts w:hint="eastAsia" w:ascii="仿宋_GB2312" w:hAnsi="仿宋_GB2312" w:eastAsia="仿宋_GB2312" w:cs="仿宋_GB2312"/>
          <w:color w:val="000000"/>
          <w:kern w:val="0"/>
          <w:sz w:val="32"/>
          <w:szCs w:val="32"/>
          <w:lang w:val="en-US" w:eastAsia="zh-CN"/>
        </w:rPr>
        <w:t>群众对本单位的工作质量满意度到90%以上。</w:t>
      </w:r>
      <w:r>
        <w:rPr>
          <w:rFonts w:hint="eastAsia" w:ascii="仿宋_GB2312" w:hAnsi="仿宋_GB2312" w:eastAsia="仿宋_GB2312" w:cs="仿宋_GB2312"/>
          <w:color w:val="000000"/>
          <w:kern w:val="0"/>
          <w:sz w:val="32"/>
          <w:szCs w:val="32"/>
        </w:rPr>
        <w:t>发现的主要问题及原因：</w:t>
      </w:r>
      <w:r>
        <w:rPr>
          <w:rFonts w:hint="eastAsia" w:ascii="仿宋_GB2312" w:hAnsi="仿宋_GB2312" w:eastAsia="仿宋_GB2312" w:cs="仿宋_GB2312"/>
          <w:color w:val="000000"/>
          <w:kern w:val="0"/>
          <w:sz w:val="32"/>
          <w:szCs w:val="32"/>
          <w:lang w:eastAsia="zh-CN"/>
        </w:rPr>
        <w:t>项目抽检批次计划是</w:t>
      </w:r>
      <w:r>
        <w:rPr>
          <w:rFonts w:hint="eastAsia" w:ascii="仿宋_GB2312" w:hAnsi="仿宋_GB2312" w:eastAsia="仿宋_GB2312" w:cs="仿宋_GB2312"/>
          <w:color w:val="000000"/>
          <w:kern w:val="0"/>
          <w:sz w:val="32"/>
          <w:szCs w:val="32"/>
          <w:lang w:val="en-US" w:eastAsia="zh-CN"/>
        </w:rPr>
        <w:t>120批次，实际完成95批次，主要原因是市局药品流通科抽检没有抽到计划数，95批次其中有40批次是案件检品。</w:t>
      </w:r>
      <w:r>
        <w:rPr>
          <w:rFonts w:hint="eastAsia" w:ascii="仿宋_GB2312" w:hAnsi="仿宋_GB2312" w:eastAsia="仿宋_GB2312" w:cs="仿宋_GB2312"/>
          <w:color w:val="000000"/>
          <w:kern w:val="0"/>
          <w:sz w:val="32"/>
          <w:szCs w:val="32"/>
          <w:lang w:eastAsia="zh-CN"/>
        </w:rPr>
        <w:t>下一步改进措施：一是加快项目资金预算执行进度，减少专项资金结转。二是科学合理编制预算，严格执行预算，提高资金使用效率。</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部门评价项目绩效评价结果。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200" w:right="0" w:rightChars="0" w:firstLine="640" w:firstLineChars="200"/>
        <w:jc w:val="left"/>
        <w:textAlignment w:val="auto"/>
        <w:outlineLvl w:val="9"/>
        <w:rPr>
          <w:rFonts w:hint="eastAsia" w:ascii="仿宋_GB2312" w:hAnsi="仿宋_GB2312" w:eastAsia="仿宋_GB2312" w:cs="仿宋_GB2312"/>
          <w:sz w:val="72"/>
          <w:szCs w:val="72"/>
          <w:lang w:eastAsia="zh-CN"/>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部门评价项目</w:t>
      </w:r>
      <w:r>
        <w:rPr>
          <w:rFonts w:hint="eastAsia" w:ascii="仿宋_GB2312" w:hAnsi="仿宋_GB2312" w:eastAsia="仿宋_GB2312" w:cs="仿宋_GB2312"/>
          <w:color w:val="000000"/>
          <w:kern w:val="0"/>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pStyle w:val="10"/>
        <w:jc w:val="center"/>
        <w:rPr>
          <w:sz w:val="72"/>
          <w:szCs w:val="72"/>
        </w:r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第四部分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名词解释</w:t>
      </w:r>
    </w:p>
    <w:p>
      <w:pPr>
        <w:pStyle w:val="10"/>
        <w:rPr>
          <w:rFonts w:hint="eastAsia" w:ascii="仿宋_GB2312" w:hAnsi="仿宋_GB2312" w:eastAsia="仿宋_GB2312" w:cs="仿宋_GB2312"/>
          <w:sz w:val="32"/>
          <w:szCs w:val="32"/>
        </w:rPr>
      </w:pPr>
      <w:r>
        <w:rPr>
          <w:rFonts w:ascii="黑体" w:eastAsia="黑体" w:cs="黑体"/>
          <w:color w:val="000000"/>
          <w:kern w:val="0"/>
          <w:sz w:val="70"/>
          <w:szCs w:val="70"/>
        </w:rPr>
        <w:br w:type="page"/>
      </w:r>
      <w:r>
        <w:rPr>
          <w:rFonts w:hint="eastAsia" w:ascii="仿宋_GB2312" w:hAnsi="仿宋_GB2312" w:eastAsia="仿宋_GB2312" w:cs="仿宋_GB2312"/>
          <w:color w:val="000000"/>
          <w:kern w:val="0"/>
          <w:sz w:val="70"/>
          <w:szCs w:val="70"/>
          <w:lang w:val="en-US" w:eastAsia="zh-CN"/>
        </w:rPr>
        <w:t xml:space="preserve">  </w:t>
      </w:r>
      <w:r>
        <w:rPr>
          <w:rFonts w:hint="eastAsia" w:ascii="仿宋_GB2312" w:hAnsi="仿宋_GB2312" w:eastAsia="仿宋_GB2312" w:cs="仿宋_GB2312"/>
          <w:sz w:val="32"/>
          <w:szCs w:val="32"/>
        </w:rPr>
        <w:t>一、基本支出：指为保障机构正常运转、完成日常工作任务而发生的各项支出，包括人员支出和公用支出。</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二、项目支出：指在基本支出以外为</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相关行政任务和事业发展目标所发生的各项支出。</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三、“三公”经费：指通过财政拨款资金安排的因公出国（境）费、公务用车购置及运行费和公务接待费支出。</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hint="eastAsia" w:ascii="仿宋_GB2312" w:hAnsi="仿宋_GB2312" w:eastAsia="仿宋_GB2312" w:cs="仿宋_GB2312"/>
          <w:i/>
          <w:color w:val="FF0000"/>
          <w:kern w:val="0"/>
          <w:sz w:val="32"/>
          <w:szCs w:val="32"/>
        </w:rPr>
      </w:pPr>
      <w:r>
        <w:rPr>
          <w:rFonts w:hint="eastAsia" w:ascii="仿宋_GB2312" w:hAnsi="仿宋_GB2312" w:eastAsia="仿宋_GB2312" w:cs="仿宋_GB2312"/>
          <w:i/>
          <w:color w:val="FF0000"/>
          <w:kern w:val="0"/>
          <w:sz w:val="32"/>
          <w:szCs w:val="32"/>
        </w:rPr>
        <w:t xml:space="preserve"> </w:t>
      </w:r>
      <w:r>
        <w:rPr>
          <w:rFonts w:hint="eastAsia" w:ascii="仿宋_GB2312" w:hAnsi="仿宋_GB2312" w:eastAsia="仿宋_GB2312" w:cs="仿宋_GB2312"/>
          <w:color w:val="000000"/>
          <w:kern w:val="0"/>
          <w:sz w:val="32"/>
          <w:szCs w:val="32"/>
        </w:rPr>
        <w:t xml:space="preserve">  </w:t>
      </w: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第五部分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附</w:t>
      </w:r>
      <w:r>
        <w:rPr>
          <w:rFonts w:hint="eastAsia" w:ascii="方正小标宋简体" w:hAnsi="方正小标宋简体" w:eastAsia="方正小标宋简体" w:cs="方正小标宋简体"/>
          <w:color w:val="000000"/>
          <w:kern w:val="0"/>
          <w:sz w:val="70"/>
          <w:szCs w:val="70"/>
          <w:lang w:val="en-US" w:eastAsia="zh-CN"/>
        </w:rPr>
        <w:t xml:space="preserve">  </w:t>
      </w:r>
      <w:r>
        <w:rPr>
          <w:rFonts w:hint="eastAsia" w:ascii="方正小标宋简体" w:hAnsi="方正小标宋简体" w:eastAsia="方正小标宋简体" w:cs="方正小标宋简体"/>
          <w:color w:val="000000"/>
          <w:kern w:val="0"/>
          <w:sz w:val="70"/>
          <w:szCs w:val="70"/>
        </w:rPr>
        <w:t>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hint="eastAsia" w:ascii="黑体" w:hAnsi="黑体" w:eastAsia="黑体"/>
          <w:sz w:val="44"/>
          <w:szCs w:val="44"/>
        </w:rPr>
      </w:pPr>
      <w:r>
        <w:rPr>
          <w:rFonts w:ascii="黑体" w:hAnsi="黑体" w:eastAsia="黑体"/>
          <w:sz w:val="44"/>
          <w:szCs w:val="44"/>
        </w:rPr>
        <w:t>2021年度</w:t>
      </w:r>
      <w:r>
        <w:rPr>
          <w:rFonts w:hint="eastAsia" w:ascii="黑体" w:hAnsi="黑体" w:eastAsia="黑体"/>
          <w:sz w:val="44"/>
          <w:szCs w:val="44"/>
        </w:rPr>
        <w:t>常德市</w:t>
      </w:r>
      <w:r>
        <w:rPr>
          <w:rFonts w:hint="eastAsia" w:ascii="黑体" w:hAnsi="黑体" w:eastAsia="黑体"/>
          <w:sz w:val="44"/>
          <w:szCs w:val="44"/>
          <w:lang w:eastAsia="zh-CN"/>
        </w:rPr>
        <w:t>食品药品</w:t>
      </w:r>
      <w:r>
        <w:rPr>
          <w:rFonts w:hint="eastAsia" w:ascii="黑体" w:hAnsi="黑体" w:eastAsia="黑体"/>
          <w:sz w:val="44"/>
          <w:szCs w:val="44"/>
        </w:rPr>
        <w:t>检验所</w:t>
      </w:r>
    </w:p>
    <w:p>
      <w:pPr>
        <w:spacing w:line="560" w:lineRule="exact"/>
        <w:jc w:val="center"/>
        <w:rPr>
          <w:rFonts w:ascii="黑体" w:hAnsi="黑体" w:eastAsia="黑体"/>
          <w:sz w:val="44"/>
          <w:szCs w:val="44"/>
        </w:rPr>
      </w:pPr>
      <w:r>
        <w:rPr>
          <w:rFonts w:ascii="黑体" w:hAnsi="黑体" w:eastAsia="黑体"/>
          <w:sz w:val="44"/>
          <w:szCs w:val="44"/>
        </w:rPr>
        <w:t>整体支出绩效自评报告</w:t>
      </w:r>
    </w:p>
    <w:p>
      <w:pPr>
        <w:rPr>
          <w:rFonts w:eastAsia="黑体"/>
          <w:sz w:val="32"/>
          <w:szCs w:val="32"/>
        </w:rPr>
      </w:pPr>
    </w:p>
    <w:p>
      <w:pPr>
        <w:ind w:firstLine="640" w:firstLineChars="200"/>
        <w:rPr>
          <w:rFonts w:eastAsia="黑体"/>
          <w:sz w:val="32"/>
          <w:szCs w:val="32"/>
        </w:rPr>
      </w:pPr>
      <w:r>
        <w:rPr>
          <w:rFonts w:eastAsia="黑体"/>
          <w:sz w:val="32"/>
          <w:szCs w:val="32"/>
        </w:rPr>
        <w:t>一、单位基本情况</w:t>
      </w:r>
    </w:p>
    <w:p>
      <w:pPr>
        <w:widowControl/>
        <w:spacing w:line="600" w:lineRule="exact"/>
        <w:ind w:firstLine="480" w:firstLineChars="150"/>
        <w:jc w:val="left"/>
        <w:rPr>
          <w:rFonts w:hint="eastAsia" w:eastAsia="楷体_GB2312"/>
          <w:bCs/>
          <w:sz w:val="32"/>
          <w:szCs w:val="32"/>
        </w:rPr>
      </w:pPr>
      <w:r>
        <w:rPr>
          <w:rFonts w:eastAsia="楷体_GB2312"/>
          <w:bCs/>
          <w:sz w:val="32"/>
          <w:szCs w:val="32"/>
        </w:rPr>
        <w:t>（一）</w:t>
      </w:r>
      <w:r>
        <w:rPr>
          <w:rFonts w:hint="eastAsia" w:eastAsia="楷体_GB2312"/>
          <w:bCs/>
          <w:sz w:val="32"/>
          <w:szCs w:val="32"/>
        </w:rPr>
        <w:t>单位的机构、人员情况</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常德市食品药品检验所为常德市市场监督管理局下属全额拨款事业单位，副处级建制。根据市编委办核定，市食品药品检验所内设科室8个，所属事业单位0个，全部纳入2021年部门决算编制范围。内设科室分别是办公室、中药检验室、业务技术科、生化药品检验室、化学药品检验室、质量保证科、设备科、医疗器械药包材检验室。无下属单位。</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截止2021年12月31日，我所在职人员26人，离休人员1人，退休人员22人（均系财政供养人员），临聘编外人员10人，共计59人。</w:t>
      </w:r>
    </w:p>
    <w:p>
      <w:pPr>
        <w:widowControl/>
        <w:numPr>
          <w:ilvl w:val="0"/>
          <w:numId w:val="5"/>
        </w:numPr>
        <w:spacing w:line="600" w:lineRule="exact"/>
        <w:ind w:firstLine="645"/>
        <w:jc w:val="left"/>
        <w:rPr>
          <w:rFonts w:hint="eastAsia" w:eastAsia="楷体_GB2312"/>
          <w:bCs/>
          <w:sz w:val="32"/>
          <w:szCs w:val="32"/>
        </w:rPr>
      </w:pPr>
      <w:r>
        <w:rPr>
          <w:rFonts w:hint="eastAsia" w:eastAsia="楷体_GB2312"/>
          <w:bCs/>
          <w:sz w:val="32"/>
          <w:szCs w:val="32"/>
        </w:rPr>
        <w:t>单位主要职责</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负责化妆品、药品、药用包材、药用辅料、医疗器械、洁净环境等检验检测工作；依法承担药品检验结果的复验。</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承担主管部门下达的抽样检测任务。</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承担药品和化妆品生产、经营和使用单位的委托检验。</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承担与药品、药用包材、药用辅料、医疗器械、化妆品质量有关的科研和技术服务工作，并在上级食品药品检验机构的指导下开展相关的快速检验工作。</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开展对药品、医疗器械和化妆品生产、经营、使用单位质量检验机构的业务指导，培训有关专业技术人员。</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负责提供辖区内药品、化妆品质量公报所需技术数据和质量分析报告；负责综合上报与反馈药品、化妆品质量检测信息。</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配合</w:t>
      </w:r>
      <w:r>
        <w:rPr>
          <w:rFonts w:hint="eastAsia" w:ascii="仿宋" w:hAnsi="仿宋" w:eastAsia="仿宋" w:cs="仿宋"/>
          <w:color w:val="000000"/>
          <w:sz w:val="32"/>
          <w:szCs w:val="32"/>
          <w:lang w:eastAsia="zh-CN"/>
        </w:rPr>
        <w:t>市场</w:t>
      </w:r>
      <w:r>
        <w:rPr>
          <w:rFonts w:hint="eastAsia" w:ascii="仿宋" w:hAnsi="仿宋" w:eastAsia="仿宋" w:cs="仿宋"/>
          <w:color w:val="000000"/>
          <w:sz w:val="32"/>
          <w:szCs w:val="32"/>
        </w:rPr>
        <w:t>监督管理部门开展相关监督执法和突发事件的应急处置。</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开展与药品、药用包材、药用辅料、医疗器械、化妆品质量技术监督有关的交流与合作。</w:t>
      </w:r>
    </w:p>
    <w:p>
      <w:pPr>
        <w:spacing w:line="600" w:lineRule="exact"/>
        <w:ind w:firstLine="640" w:firstLineChars="200"/>
        <w:rPr>
          <w:rFonts w:hint="default" w:eastAsia="楷体_GB2312"/>
          <w:bCs/>
          <w:sz w:val="32"/>
          <w:szCs w:val="32"/>
          <w:lang w:val="en-US" w:eastAsia="zh-CN"/>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承办市委、市政府和市</w:t>
      </w:r>
      <w:r>
        <w:rPr>
          <w:rFonts w:hint="eastAsia" w:ascii="仿宋" w:hAnsi="仿宋" w:eastAsia="仿宋" w:cs="仿宋"/>
          <w:color w:val="000000"/>
          <w:sz w:val="32"/>
          <w:szCs w:val="32"/>
          <w:lang w:eastAsia="zh-CN"/>
        </w:rPr>
        <w:t>市场</w:t>
      </w:r>
      <w:r>
        <w:rPr>
          <w:rFonts w:hint="eastAsia" w:ascii="仿宋" w:hAnsi="仿宋" w:eastAsia="仿宋" w:cs="仿宋"/>
          <w:color w:val="000000"/>
          <w:sz w:val="32"/>
          <w:szCs w:val="32"/>
        </w:rPr>
        <w:t>监督管理局交办的其他工作。</w:t>
      </w:r>
    </w:p>
    <w:p>
      <w:pPr>
        <w:widowControl/>
        <w:spacing w:line="600" w:lineRule="exact"/>
        <w:ind w:firstLine="645"/>
        <w:jc w:val="left"/>
        <w:rPr>
          <w:rFonts w:hint="eastAsia"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w:t>
      </w:r>
      <w:r>
        <w:rPr>
          <w:rFonts w:hint="eastAsia" w:eastAsia="楷体_GB2312"/>
          <w:bCs/>
          <w:sz w:val="32"/>
          <w:szCs w:val="32"/>
        </w:rPr>
        <w:t>财务情况</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2021年全年收入1516.5万元，其中：财政拨款1516.5元，无其他收入。2021年全年事业支出1574.43元，（其中基本支出678.23万元，项目支出896.2万元 ）工资福利支出443.22万元，占总支出比28.15%；商品和服务支出226.32万元，占总支出比14.37%；对个人和家庭的补助支出131.78万元，占总支出比8.37%；资本性支出773.11万元，占总支出比49.11%。</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2021年度, 食药检所项目支出896.2万元，具体为：省级抽检87.63万元（含上年结转35.63万元），市级抽检(事业发展专项）150.78万元（含上年结转22.04万元），业务车辆购置17.1万元，国检中心技术创新平台仪器设备购置640.7万元。</w:t>
      </w:r>
    </w:p>
    <w:p>
      <w:pPr>
        <w:widowControl/>
        <w:spacing w:line="600" w:lineRule="exact"/>
        <w:ind w:firstLine="480" w:firstLineChars="150"/>
        <w:jc w:val="left"/>
        <w:rPr>
          <w:rFonts w:hint="eastAsia" w:eastAsia="楷体_GB2312"/>
          <w:bCs/>
          <w:sz w:val="32"/>
          <w:szCs w:val="32"/>
        </w:rPr>
      </w:pPr>
      <w:r>
        <w:rPr>
          <w:rFonts w:eastAsia="楷体_GB2312"/>
          <w:bCs/>
          <w:sz w:val="32"/>
          <w:szCs w:val="32"/>
        </w:rPr>
        <w:t>（</w:t>
      </w:r>
      <w:r>
        <w:rPr>
          <w:rFonts w:hint="eastAsia" w:eastAsia="楷体_GB2312"/>
          <w:bCs/>
          <w:sz w:val="32"/>
          <w:szCs w:val="32"/>
        </w:rPr>
        <w:t>四</w:t>
      </w:r>
      <w:r>
        <w:rPr>
          <w:rFonts w:eastAsia="楷体_GB2312"/>
          <w:bCs/>
          <w:sz w:val="32"/>
          <w:szCs w:val="32"/>
        </w:rPr>
        <w:t>）</w:t>
      </w:r>
      <w:r>
        <w:rPr>
          <w:rFonts w:hint="eastAsia" w:eastAsia="楷体_GB2312"/>
          <w:bCs/>
          <w:sz w:val="32"/>
          <w:szCs w:val="32"/>
        </w:rPr>
        <w:t>绩效目标</w:t>
      </w:r>
    </w:p>
    <w:p>
      <w:pPr>
        <w:spacing w:line="540" w:lineRule="exact"/>
        <w:ind w:firstLine="640" w:firstLineChars="200"/>
        <w:rPr>
          <w:rFonts w:hint="eastAsia" w:ascii="仿宋_GB2312" w:hAnsi="仿宋" w:cs="仿宋_GB2312"/>
          <w:b/>
          <w:color w:val="000000"/>
          <w:kern w:val="0"/>
          <w:sz w:val="32"/>
          <w:szCs w:val="32"/>
        </w:rPr>
      </w:pPr>
      <w:r>
        <w:rPr>
          <w:rFonts w:hint="eastAsia" w:ascii="仿宋_GB2312" w:hAnsi="仿宋" w:cs="仿宋_GB2312"/>
          <w:b/>
          <w:color w:val="000000"/>
          <w:kern w:val="0"/>
          <w:sz w:val="32"/>
          <w:szCs w:val="32"/>
        </w:rPr>
        <w:t>部门绩效总目标</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通过对本单位整体支出绩效自评，了解2021年度财政资金预算支出的绩效状况，为今后预算安排提供决策支持。进一步增强本部门支出管理的责任，优化支出结构，提升预算管理水平，保障更好地履行药品、化妆品安全检验检测职责，提高公务服务质量和财政资金使用效益，促进当地经济健康发展。</w:t>
      </w:r>
    </w:p>
    <w:p>
      <w:pPr>
        <w:spacing w:line="540" w:lineRule="exact"/>
        <w:ind w:firstLine="640" w:firstLineChars="200"/>
        <w:rPr>
          <w:rFonts w:hint="eastAsia" w:ascii="仿宋_GB2312" w:hAnsi="仿宋" w:cs="仿宋_GB2312"/>
          <w:b/>
          <w:color w:val="000000"/>
          <w:kern w:val="0"/>
          <w:sz w:val="32"/>
          <w:szCs w:val="32"/>
        </w:rPr>
      </w:pPr>
      <w:r>
        <w:rPr>
          <w:rFonts w:hint="eastAsia" w:ascii="仿宋_GB2312" w:hAnsi="仿宋" w:cs="仿宋_GB2312"/>
          <w:b/>
          <w:color w:val="000000"/>
          <w:kern w:val="0"/>
          <w:sz w:val="32"/>
          <w:szCs w:val="32"/>
        </w:rPr>
        <w:t>2021年度部门绩效目标</w:t>
      </w:r>
    </w:p>
    <w:p>
      <w:pPr>
        <w:spacing w:line="600" w:lineRule="exact"/>
        <w:ind w:firstLine="640" w:firstLineChars="200"/>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 xml:space="preserve">目标1：按照规定准确、高效的完成药品、化妆品、医疗器械检验任务及三废处理工作；           </w:t>
      </w:r>
    </w:p>
    <w:p>
      <w:pPr>
        <w:spacing w:line="600" w:lineRule="exact"/>
        <w:ind w:firstLine="640" w:firstLineChars="200"/>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目标2：提高药械化检验人员的</w:t>
      </w:r>
      <w:r>
        <w:rPr>
          <w:rFonts w:hint="eastAsia" w:ascii="仿宋" w:hAnsi="仿宋" w:eastAsia="仿宋" w:cs="仿宋"/>
          <w:color w:val="000000"/>
          <w:sz w:val="32"/>
          <w:szCs w:val="32"/>
          <w:lang w:val="en-US" w:eastAsia="zh-CN"/>
        </w:rPr>
        <w:t>综合业务素质</w:t>
      </w:r>
      <w:r>
        <w:rPr>
          <w:rFonts w:hint="default" w:ascii="仿宋" w:hAnsi="仿宋" w:eastAsia="仿宋" w:cs="仿宋"/>
          <w:color w:val="000000"/>
          <w:sz w:val="32"/>
          <w:szCs w:val="32"/>
          <w:lang w:val="en-US" w:eastAsia="zh-CN"/>
        </w:rPr>
        <w:t>。</w:t>
      </w:r>
    </w:p>
    <w:p>
      <w:pPr>
        <w:pStyle w:val="11"/>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default" w:ascii="仿宋" w:hAnsi="仿宋" w:eastAsia="仿宋" w:cs="仿宋"/>
          <w:color w:val="000000"/>
          <w:sz w:val="32"/>
          <w:szCs w:val="32"/>
          <w:lang w:val="en-US" w:eastAsia="zh-CN"/>
        </w:rPr>
        <w:t>021年</w:t>
      </w:r>
      <w:r>
        <w:rPr>
          <w:rFonts w:hint="eastAsia" w:ascii="仿宋" w:hAnsi="仿宋" w:eastAsia="仿宋" w:cs="仿宋"/>
          <w:color w:val="000000"/>
          <w:sz w:val="32"/>
          <w:szCs w:val="32"/>
          <w:lang w:val="en-US" w:eastAsia="zh-CN"/>
        </w:rPr>
        <w:t>食药检所一般公共预算收入1516.5</w:t>
      </w:r>
      <w:r>
        <w:rPr>
          <w:rFonts w:hint="default" w:ascii="仿宋" w:hAnsi="仿宋" w:eastAsia="仿宋" w:cs="仿宋"/>
          <w:color w:val="000000"/>
          <w:sz w:val="32"/>
          <w:szCs w:val="32"/>
          <w:lang w:val="en-US" w:eastAsia="zh-CN"/>
        </w:rPr>
        <w:t>万元，</w:t>
      </w:r>
      <w:r>
        <w:rPr>
          <w:rFonts w:hint="eastAsia" w:ascii="仿宋" w:hAnsi="仿宋" w:eastAsia="仿宋" w:cs="仿宋"/>
          <w:color w:val="000000"/>
          <w:sz w:val="32"/>
          <w:szCs w:val="32"/>
          <w:lang w:val="en-US" w:eastAsia="zh-CN"/>
        </w:rPr>
        <w:t>一般公共预算支出1574.43万元，</w:t>
      </w:r>
      <w:r>
        <w:rPr>
          <w:rFonts w:hint="default" w:ascii="仿宋" w:hAnsi="仿宋" w:eastAsia="仿宋" w:cs="仿宋"/>
          <w:color w:val="000000"/>
          <w:sz w:val="32"/>
          <w:szCs w:val="32"/>
          <w:lang w:val="en-US" w:eastAsia="zh-CN"/>
        </w:rPr>
        <w:t>主要涉及一般公共服务支出</w:t>
      </w:r>
      <w:r>
        <w:rPr>
          <w:rFonts w:hint="eastAsia" w:ascii="仿宋" w:hAnsi="仿宋" w:eastAsia="仿宋" w:cs="仿宋"/>
          <w:color w:val="000000"/>
          <w:sz w:val="32"/>
          <w:szCs w:val="32"/>
          <w:lang w:val="en-US" w:eastAsia="zh-CN"/>
        </w:rPr>
        <w:t>1402.85</w:t>
      </w:r>
      <w:r>
        <w:rPr>
          <w:rFonts w:hint="default" w:ascii="仿宋" w:hAnsi="仿宋" w:eastAsia="仿宋" w:cs="仿宋"/>
          <w:color w:val="000000"/>
          <w:sz w:val="32"/>
          <w:szCs w:val="32"/>
          <w:lang w:val="en-US" w:eastAsia="zh-CN"/>
        </w:rPr>
        <w:t>万元、社会保障和就业支出1</w:t>
      </w:r>
      <w:r>
        <w:rPr>
          <w:rFonts w:hint="eastAsia" w:ascii="仿宋" w:hAnsi="仿宋" w:eastAsia="仿宋" w:cs="仿宋"/>
          <w:color w:val="000000"/>
          <w:sz w:val="32"/>
          <w:szCs w:val="32"/>
          <w:lang w:val="en-US" w:eastAsia="zh-CN"/>
        </w:rPr>
        <w:t>30.62</w:t>
      </w:r>
      <w:r>
        <w:rPr>
          <w:rFonts w:hint="default" w:ascii="仿宋" w:hAnsi="仿宋" w:eastAsia="仿宋" w:cs="仿宋"/>
          <w:color w:val="000000"/>
          <w:sz w:val="32"/>
          <w:szCs w:val="32"/>
          <w:lang w:val="en-US" w:eastAsia="zh-CN"/>
        </w:rPr>
        <w:t>万元、住房保障支出</w:t>
      </w:r>
      <w:r>
        <w:rPr>
          <w:rFonts w:hint="eastAsia" w:ascii="仿宋" w:hAnsi="仿宋" w:eastAsia="仿宋" w:cs="仿宋"/>
          <w:color w:val="000000"/>
          <w:sz w:val="32"/>
          <w:szCs w:val="32"/>
          <w:lang w:val="en-US" w:eastAsia="zh-CN"/>
        </w:rPr>
        <w:t>40.96</w:t>
      </w:r>
      <w:r>
        <w:rPr>
          <w:rFonts w:hint="default" w:ascii="仿宋" w:hAnsi="仿宋" w:eastAsia="仿宋" w:cs="仿宋"/>
          <w:color w:val="000000"/>
          <w:sz w:val="32"/>
          <w:szCs w:val="32"/>
          <w:lang w:val="en-US" w:eastAsia="zh-CN"/>
        </w:rPr>
        <w:t>万元。</w:t>
      </w:r>
    </w:p>
    <w:p>
      <w:pPr>
        <w:autoSpaceDE w:val="0"/>
        <w:autoSpaceDN w:val="0"/>
        <w:adjustRightInd w:val="0"/>
        <w:spacing w:line="560" w:lineRule="exact"/>
        <w:ind w:firstLine="640"/>
        <w:rPr>
          <w:rFonts w:hint="eastAsia" w:eastAsia="楷体_GB2312"/>
          <w:bCs/>
          <w:sz w:val="32"/>
          <w:szCs w:val="32"/>
        </w:rPr>
      </w:pPr>
      <w:r>
        <w:rPr>
          <w:rFonts w:eastAsia="楷体_GB2312"/>
          <w:bCs/>
          <w:sz w:val="32"/>
          <w:szCs w:val="32"/>
        </w:rPr>
        <w:t>（一）基本支出情况</w:t>
      </w:r>
    </w:p>
    <w:p>
      <w:pPr>
        <w:spacing w:line="540" w:lineRule="exact"/>
        <w:ind w:firstLine="640" w:firstLineChars="200"/>
        <w:rPr>
          <w:rFonts w:hint="eastAsia" w:ascii="仿宋" w:eastAsia="仿宋" w:cs="仿宋"/>
          <w:b/>
          <w:sz w:val="32"/>
          <w:szCs w:val="32"/>
        </w:rPr>
      </w:pPr>
      <w:r>
        <w:rPr>
          <w:rFonts w:hint="eastAsia" w:ascii="仿宋" w:eastAsia="仿宋" w:cs="仿宋"/>
          <w:b/>
          <w:sz w:val="32"/>
          <w:szCs w:val="32"/>
        </w:rPr>
        <w:t>人员经费支出情况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2021年度，市食药检所人员经费支出575万元，比预算支出501.4万元多73.6万元，主要原因是工资调标及绩效考核奖励的增加。</w:t>
      </w:r>
    </w:p>
    <w:p>
      <w:pPr>
        <w:spacing w:line="540" w:lineRule="exact"/>
        <w:ind w:firstLine="640" w:firstLineChars="200"/>
        <w:rPr>
          <w:rFonts w:hint="eastAsia" w:ascii="仿宋_GB2312" w:hAnsi="仿宋" w:cs="仿宋_GB2312"/>
          <w:b/>
          <w:color w:val="222222"/>
          <w:kern w:val="0"/>
          <w:sz w:val="32"/>
          <w:szCs w:val="32"/>
        </w:rPr>
      </w:pPr>
      <w:r>
        <w:rPr>
          <w:rFonts w:hint="eastAsia" w:ascii="仿宋_GB2312" w:hAnsi="仿宋" w:cs="仿宋_GB2312"/>
          <w:b/>
          <w:color w:val="222222"/>
          <w:kern w:val="0"/>
          <w:sz w:val="32"/>
          <w:szCs w:val="32"/>
        </w:rPr>
        <w:t>日常公用经费支出情况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2021年度，市食药检所日常公用经费支出103.23万元，比</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预算支出68.77万元增加34.46万元，主要原因是：1.2021年我所对桃源清江浦、石门雁池五通庙两地乡村振兴帮扶资金各5万元，共计10万元。2.用事业运行经费支付工会费13.07万元到工会账户。3.用事业运行经费支付“协同办公系统”及“智慧市场监管”网络资费5.07万元。我所日常公用经费使用规范合理，每笔开支严格按照年度预算请款、严格按照财政政策和财务管理制度支出，手续齐全，程序合法。</w:t>
      </w:r>
    </w:p>
    <w:p>
      <w:pPr>
        <w:spacing w:line="540" w:lineRule="exact"/>
        <w:ind w:firstLine="640" w:firstLineChars="200"/>
        <w:rPr>
          <w:rFonts w:ascii="仿宋_GB2312" w:hAnsi="仿宋"/>
          <w:b/>
          <w:color w:val="000000"/>
          <w:kern w:val="0"/>
          <w:sz w:val="32"/>
          <w:szCs w:val="32"/>
        </w:rPr>
      </w:pPr>
      <w:r>
        <w:rPr>
          <w:rFonts w:hint="eastAsia" w:ascii="仿宋_GB2312" w:hAnsi="仿宋" w:cs="仿宋_GB2312"/>
          <w:b/>
          <w:color w:val="000000"/>
          <w:kern w:val="0"/>
          <w:sz w:val="32"/>
          <w:szCs w:val="32"/>
        </w:rPr>
        <w:t>“三公经费”支出使用和管理情况</w:t>
      </w:r>
    </w:p>
    <w:p>
      <w:pPr>
        <w:spacing w:line="56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度，市食药检所公共预算财政拨款“三公”经费支出24万元，比预算支出9万元增加了15万元，增加的原因为：2021年12月市机关事务局根据我所实际情况为我所配置了一台业务用车，原值17.1万元，旧业务用车按照规定上缴。</w:t>
      </w:r>
    </w:p>
    <w:p>
      <w:pPr>
        <w:pStyle w:val="11"/>
        <w:widowControl/>
        <w:spacing w:line="600" w:lineRule="exact"/>
        <w:ind w:firstLine="419" w:firstLineChars="131"/>
        <w:rPr>
          <w:rFonts w:hint="eastAsia" w:ascii="Times New Roman" w:hAnsi="Times New Roman" w:eastAsia="楷体_GB2312"/>
          <w:bCs/>
          <w:sz w:val="32"/>
          <w:szCs w:val="32"/>
          <w:lang w:eastAsia="zh-CN"/>
        </w:rPr>
      </w:pPr>
      <w:r>
        <w:rPr>
          <w:rFonts w:ascii="Times New Roman" w:hAnsi="Times New Roman" w:eastAsia="楷体_GB2312"/>
          <w:bCs/>
          <w:sz w:val="32"/>
          <w:szCs w:val="32"/>
        </w:rPr>
        <w:t>（二）项目支出情况</w:t>
      </w:r>
    </w:p>
    <w:p>
      <w:pPr>
        <w:spacing w:line="540" w:lineRule="exact"/>
        <w:ind w:firstLine="640" w:firstLineChars="200"/>
        <w:rPr>
          <w:rFonts w:hint="eastAsia" w:ascii="仿宋_GB2312" w:hAnsi="仿宋" w:cs="仿宋_GB2312"/>
          <w:b/>
          <w:color w:val="000000"/>
          <w:kern w:val="0"/>
          <w:sz w:val="32"/>
          <w:szCs w:val="32"/>
        </w:rPr>
      </w:pPr>
      <w:r>
        <w:rPr>
          <w:rFonts w:hint="eastAsia" w:ascii="仿宋_GB2312" w:hAnsi="仿宋" w:cs="仿宋_GB2312"/>
          <w:b/>
          <w:color w:val="000000"/>
          <w:kern w:val="0"/>
          <w:sz w:val="32"/>
          <w:szCs w:val="32"/>
        </w:rPr>
        <w:t>专项资金支出情况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市食药所专项资金支出896.2万元。2121年收到市抽药品检验专项资金128.74万元，实际使用150.78万元（含上年结转22.04万元）；收到省抽药品检验专项资金52万元，实际使用87.62万元（含上年结转35.62万元）；收到业务车辆购置款17.1万元，实际支出17.1万元；收到国检中心技术创新平台仪器设备购置款640.7万元，实际支出640.7万元。专项资金都做到了专款专用，专账核算。</w:t>
      </w:r>
    </w:p>
    <w:p>
      <w:pPr>
        <w:spacing w:line="540" w:lineRule="exact"/>
        <w:ind w:firstLine="640" w:firstLineChars="200"/>
        <w:rPr>
          <w:rFonts w:ascii="仿宋_GB2312" w:hAnsi="仿宋"/>
          <w:b/>
          <w:color w:val="000000"/>
          <w:kern w:val="0"/>
          <w:sz w:val="32"/>
          <w:szCs w:val="32"/>
        </w:rPr>
      </w:pPr>
      <w:r>
        <w:rPr>
          <w:rFonts w:hint="eastAsia" w:ascii="仿宋_GB2312" w:hAnsi="仿宋" w:cs="仿宋_GB2312"/>
          <w:b/>
          <w:color w:val="000000"/>
          <w:kern w:val="0"/>
          <w:sz w:val="32"/>
          <w:szCs w:val="32"/>
        </w:rPr>
        <w:t>政府采购管理情况。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度，市药检所严格执行《常德市2021—2022年度政府集中采购目录及政府采购限额标准》通知要求，凡属政府采购项目做到了“应采必采”。全年共采购金额797.53万元（含电子卖场），其中专用设备购置756.01万元。</w:t>
      </w:r>
    </w:p>
    <w:p>
      <w:pPr>
        <w:pStyle w:val="11"/>
        <w:widowControl/>
        <w:spacing w:line="600" w:lineRule="exact"/>
        <w:ind w:firstLine="640"/>
        <w:jc w:val="left"/>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 xml:space="preserve"> </w:t>
      </w:r>
    </w:p>
    <w:p>
      <w:pPr>
        <w:pStyle w:val="11"/>
        <w:widowControl/>
        <w:spacing w:line="600" w:lineRule="exact"/>
        <w:ind w:firstLine="640"/>
        <w:jc w:val="left"/>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仿宋_GB2312" w:hAnsi="仿宋" w:cs="仿宋_GB2312"/>
          <w:color w:val="000000"/>
          <w:kern w:val="0"/>
          <w:sz w:val="32"/>
          <w:szCs w:val="32"/>
        </w:rPr>
        <w:t>无</w:t>
      </w:r>
    </w:p>
    <w:p>
      <w:pPr>
        <w:pStyle w:val="11"/>
        <w:widowControl/>
        <w:spacing w:line="600" w:lineRule="exact"/>
        <w:ind w:firstLine="640"/>
        <w:jc w:val="left"/>
        <w:rPr>
          <w:rFonts w:hint="eastAsia"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 xml:space="preserve">  </w:t>
      </w:r>
    </w:p>
    <w:p>
      <w:pPr>
        <w:pStyle w:val="11"/>
        <w:widowControl/>
        <w:spacing w:line="600" w:lineRule="exact"/>
        <w:ind w:firstLine="1280" w:firstLineChars="400"/>
        <w:jc w:val="left"/>
        <w:rPr>
          <w:rFonts w:ascii="Times New Roman" w:hAnsi="Times New Roman" w:eastAsia="黑体"/>
          <w:sz w:val="32"/>
          <w:szCs w:val="32"/>
        </w:rPr>
      </w:pPr>
      <w:r>
        <w:rPr>
          <w:rFonts w:hint="eastAsia" w:ascii="仿宋_GB2312" w:hAnsi="仿宋" w:cs="仿宋_GB2312"/>
          <w:color w:val="000000"/>
          <w:kern w:val="0"/>
          <w:sz w:val="32"/>
          <w:szCs w:val="32"/>
        </w:rPr>
        <w:t>无</w:t>
      </w:r>
    </w:p>
    <w:p>
      <w:pPr>
        <w:pStyle w:val="11"/>
        <w:widowControl/>
        <w:spacing w:line="600" w:lineRule="exact"/>
        <w:ind w:firstLine="640"/>
        <w:jc w:val="left"/>
        <w:rPr>
          <w:rFonts w:hint="eastAsia" w:ascii="Times New Roman" w:hAnsi="Times New Roman" w:eastAsia="黑体"/>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 xml:space="preserve">  </w:t>
      </w:r>
    </w:p>
    <w:p>
      <w:pPr>
        <w:pStyle w:val="11"/>
        <w:widowControl/>
        <w:spacing w:line="600" w:lineRule="exact"/>
        <w:ind w:firstLine="640"/>
        <w:jc w:val="left"/>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仿宋_GB2312" w:hAnsi="仿宋" w:cs="仿宋_GB2312"/>
          <w:color w:val="000000"/>
          <w:kern w:val="0"/>
          <w:sz w:val="32"/>
          <w:szCs w:val="32"/>
        </w:rPr>
        <w:t>无</w:t>
      </w:r>
    </w:p>
    <w:p>
      <w:pPr>
        <w:pStyle w:val="11"/>
        <w:widowControl/>
        <w:spacing w:line="600" w:lineRule="exact"/>
        <w:ind w:firstLine="640"/>
        <w:jc w:val="left"/>
        <w:rPr>
          <w:rFonts w:hint="eastAsia" w:ascii="仿宋" w:hAnsi="仿宋" w:eastAsia="仿宋" w:cs="仿宋"/>
          <w:color w:val="FF0000"/>
          <w:sz w:val="32"/>
          <w:szCs w:val="32"/>
        </w:rPr>
      </w:pPr>
      <w:r>
        <w:rPr>
          <w:rFonts w:ascii="Times New Roman" w:hAnsi="Times New Roman" w:eastAsia="黑体"/>
          <w:sz w:val="32"/>
          <w:szCs w:val="32"/>
        </w:rPr>
        <w:t>六、部门整体支出绩效情况</w:t>
      </w:r>
      <w:r>
        <w:rPr>
          <w:rFonts w:hint="eastAsia" w:ascii="Times New Roman" w:hAnsi="Times New Roman" w:eastAsia="黑体"/>
          <w:sz w:val="32"/>
          <w:szCs w:val="32"/>
        </w:rPr>
        <w:t xml:space="preserve">   </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部门整体支出绩效自评结果显示，我单位绩效管理情况较为理想，达到了年初设定的各项绩效目标，所有资金使用严格按审批程序办理、操作规范，会计核算结果真实、准确，各项支出严格按照各项制度执行，通过加强预算收支管理，不断建立健全内部管理制度，梳理内部管理流程，部门整体支出管理情况得到提升。部门整体支出绩效情况如下：</w:t>
      </w:r>
    </w:p>
    <w:p>
      <w:pPr>
        <w:spacing w:line="560" w:lineRule="exact"/>
        <w:ind w:firstLine="640" w:firstLineChars="200"/>
        <w:rPr>
          <w:rFonts w:ascii="仿宋_GB2312" w:hAnsi="仿宋" w:cs="仿宋"/>
          <w:color w:val="000000"/>
          <w:kern w:val="0"/>
          <w:sz w:val="32"/>
          <w:szCs w:val="32"/>
        </w:rPr>
      </w:pPr>
      <w:r>
        <w:rPr>
          <w:rFonts w:ascii="仿宋_GB2312" w:hAnsi="仿宋" w:cs="仿宋"/>
          <w:color w:val="000000"/>
          <w:kern w:val="0"/>
          <w:sz w:val="32"/>
          <w:szCs w:val="32"/>
        </w:rPr>
        <w:t>（一）经济效益评价</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1、预算收入方面，全面完成市级财政下达的预算收入。</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 预算执行方面，全年预算支出总额控制在预算总额以内。</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3、预算管理方面，制度执行总体较为有效。</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4、资产管理方面，建立了资产管理制度，定期对资产进行了盘点和清理，总体执行较好。</w:t>
      </w:r>
    </w:p>
    <w:p>
      <w:pPr>
        <w:spacing w:line="560" w:lineRule="exact"/>
        <w:ind w:firstLine="640" w:firstLineChars="200"/>
        <w:rPr>
          <w:rFonts w:hint="eastAsia" w:ascii="仿宋_GB2312" w:hAnsi="仿宋" w:cs="仿宋"/>
          <w:color w:val="000000"/>
          <w:kern w:val="0"/>
          <w:sz w:val="32"/>
          <w:szCs w:val="32"/>
        </w:rPr>
      </w:pPr>
      <w:r>
        <w:rPr>
          <w:rFonts w:ascii="仿宋_GB2312" w:hAnsi="仿宋" w:cs="仿宋"/>
          <w:color w:val="000000"/>
          <w:kern w:val="0"/>
          <w:sz w:val="32"/>
          <w:szCs w:val="32"/>
        </w:rPr>
        <w:t>（二）</w:t>
      </w:r>
      <w:r>
        <w:rPr>
          <w:rFonts w:hint="eastAsia" w:ascii="仿宋_GB2312" w:hAnsi="仿宋" w:cs="仿宋"/>
          <w:color w:val="000000"/>
          <w:kern w:val="0"/>
          <w:sz w:val="32"/>
          <w:szCs w:val="32"/>
        </w:rPr>
        <w:t>社会效益评价</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截止2021年12月31日，食药检所省级药品监督抽检已完成133批次检验任务，经检验全部合格；市级药品监督抽检已完成95批次检验任务，其中中西成药60批次、中药饮片20批次计划抽验任务已全部完成，经检验全部合格；用于案件办理及投诉举报等应急抽检计划40批次，已完成15批次，不合格4批次，已交至市局综合执法支队处置。市级化妆品抽检 20批次计划抽验任务，10月底前已完全部，经检测全部合格。市级医疗器械抽检 13批次计划抽验任务，10月底前已全部完成，经检测2批次不合格，已交至市局综合执法支队处置，切实保障全市民众用药用械用妆安全。</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在完成的各类检品中，无一因差错引发投诉或司法诉讼，顾客满意率100%，没有发生安全生产和责任事故，检品周期达标率100%，检验报告书准确率达100％。辖区内未发生影响恶劣的药品安全事故。</w:t>
      </w:r>
    </w:p>
    <w:p>
      <w:pPr>
        <w:spacing w:line="560" w:lineRule="exact"/>
        <w:ind w:firstLine="640" w:firstLineChars="200"/>
        <w:rPr>
          <w:rFonts w:ascii="仿宋_GB2312" w:hAnsi="仿宋" w:cs="仿宋"/>
          <w:color w:val="222222"/>
          <w:kern w:val="0"/>
          <w:sz w:val="32"/>
          <w:szCs w:val="32"/>
        </w:rPr>
      </w:pPr>
      <w:r>
        <w:rPr>
          <w:rFonts w:hint="eastAsia" w:ascii="仿宋_GB2312" w:hAnsi="仿宋" w:cs="仿宋"/>
          <w:color w:val="222222"/>
          <w:kern w:val="0"/>
          <w:sz w:val="32"/>
          <w:szCs w:val="32"/>
        </w:rPr>
        <w:t>（三）</w:t>
      </w:r>
      <w:r>
        <w:rPr>
          <w:rFonts w:ascii="仿宋_GB2312" w:hAnsi="仿宋" w:cs="仿宋"/>
          <w:color w:val="222222"/>
          <w:kern w:val="0"/>
          <w:sz w:val="32"/>
          <w:szCs w:val="32"/>
        </w:rPr>
        <w:t>效率性评价和有效性评价</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预算安排的基本支出保障正常的工作运转，市食药检所在预算安排的项目支出执行上严格遵守各项财经纪律，在项目资金的使用上严守法律底线、纪律底线、道德底线。</w:t>
      </w:r>
    </w:p>
    <w:p>
      <w:pPr>
        <w:pStyle w:val="11"/>
        <w:widowControl/>
        <w:spacing w:line="600" w:lineRule="exact"/>
        <w:ind w:firstLine="640"/>
        <w:jc w:val="left"/>
        <w:rPr>
          <w:rFonts w:ascii="仿宋" w:hAnsi="仿宋" w:eastAsia="仿宋" w:cs="仿宋"/>
          <w:color w:val="FF0000"/>
          <w:sz w:val="32"/>
          <w:szCs w:val="32"/>
        </w:rPr>
      </w:pPr>
      <w:r>
        <w:rPr>
          <w:rFonts w:ascii="Times New Roman" w:hAnsi="Times New Roman" w:eastAsia="黑体"/>
          <w:sz w:val="32"/>
          <w:szCs w:val="32"/>
        </w:rPr>
        <w:t>七、存在的问题及原因分析</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1、部分项目资金因指标下达较迟造成支付进度滞后，项目资金有结转，预算执行有待进一步完善细化。</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2、内控制度需进一步完善，我单位内部机构进行了优化，建立健全了财务管理制度、内控制度等制度，但仍需进一步强化财务约束监督体制。</w:t>
      </w:r>
    </w:p>
    <w:p>
      <w:pPr>
        <w:pStyle w:val="11"/>
        <w:widowControl/>
        <w:spacing w:line="600" w:lineRule="exact"/>
        <w:ind w:firstLine="640"/>
        <w:jc w:val="left"/>
        <w:rPr>
          <w:rFonts w:hint="eastAsia" w:ascii="Times New Roman" w:hAnsi="Times New Roman" w:eastAsia="黑体"/>
          <w:sz w:val="32"/>
          <w:szCs w:val="32"/>
        </w:rPr>
      </w:pPr>
      <w:r>
        <w:rPr>
          <w:rFonts w:ascii="Times New Roman" w:hAnsi="Times New Roman" w:eastAsia="黑体"/>
          <w:sz w:val="32"/>
          <w:szCs w:val="32"/>
        </w:rPr>
        <w:t>八、下一步改进措施</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1、加快项目资金预算执行进度，减少专项资金结转。</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2、科学合理编制预算，严格执行预算，提高资金使用效率。</w:t>
      </w:r>
    </w:p>
    <w:p>
      <w:pPr>
        <w:widowControl/>
        <w:spacing w:line="600" w:lineRule="exact"/>
        <w:ind w:firstLine="645"/>
        <w:jc w:val="left"/>
        <w:rPr>
          <w:rFonts w:eastAsia="黑体"/>
          <w:sz w:val="32"/>
          <w:szCs w:val="32"/>
        </w:rPr>
      </w:pPr>
      <w:r>
        <w:rPr>
          <w:rFonts w:eastAsia="黑体"/>
          <w:sz w:val="32"/>
          <w:szCs w:val="32"/>
        </w:rPr>
        <w:t>九、部门整体支出绩效自评结果拟应用和公开情况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为加强财政支出管理，优化财政支出结构，提高财政资金使用效益，根据常办发〔2022〕11号关于开展2021年度预算支出绩效自评工作的通知，结合所自身的情况对财政支出进行绩效评价，为保证评价工作顺利开展，制定了评价方案。经综合评价， 2021年部门整体支出绩效评价得分98分，评价结果为优 ，具体评分情况见附件。 </w:t>
      </w:r>
    </w:p>
    <w:p>
      <w:pPr>
        <w:widowControl/>
        <w:spacing w:line="600" w:lineRule="exact"/>
        <w:ind w:firstLine="645"/>
        <w:jc w:val="left"/>
        <w:rPr>
          <w:rFonts w:hint="eastAsia" w:eastAsia="黑体"/>
          <w:sz w:val="32"/>
          <w:szCs w:val="32"/>
        </w:rPr>
      </w:pPr>
      <w:r>
        <w:rPr>
          <w:rFonts w:hint="eastAsia" w:eastAsia="黑体"/>
          <w:sz w:val="32"/>
          <w:szCs w:val="32"/>
        </w:rPr>
        <w:t>十、</w:t>
      </w:r>
      <w:r>
        <w:rPr>
          <w:rFonts w:eastAsia="黑体"/>
          <w:sz w:val="32"/>
          <w:szCs w:val="32"/>
        </w:rPr>
        <w:t>其他需要说明的情况</w:t>
      </w:r>
    </w:p>
    <w:p>
      <w:pPr>
        <w:widowControl/>
        <w:spacing w:line="600" w:lineRule="exact"/>
        <w:ind w:firstLine="1280" w:firstLineChars="400"/>
        <w:jc w:val="left"/>
        <w:rPr>
          <w:rFonts w:ascii="宋体" w:hAnsi="宋体" w:cs="宋体"/>
          <w:kern w:val="0"/>
          <w:sz w:val="32"/>
          <w:szCs w:val="32"/>
        </w:rPr>
      </w:pPr>
      <w:r>
        <w:rPr>
          <w:rFonts w:hint="eastAsia" w:ascii="宋体" w:hAnsi="宋体" w:cs="宋体"/>
          <w:kern w:val="0"/>
          <w:sz w:val="32"/>
          <w:szCs w:val="32"/>
        </w:rPr>
        <w:t>无</w:t>
      </w:r>
    </w:p>
    <w:p>
      <w:pPr>
        <w:widowControl/>
        <w:spacing w:line="600" w:lineRule="exact"/>
        <w:jc w:val="left"/>
        <w:rPr>
          <w:sz w:val="32"/>
          <w:szCs w:val="32"/>
        </w:rPr>
      </w:pP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1.部门整体支出绩效评价基础数据表</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2.部门整体支出绩效自评表</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3.项目支出绩效自评表（一个项目支出一张表）</w:t>
      </w:r>
    </w:p>
    <w:p>
      <w:pPr>
        <w:spacing w:line="560" w:lineRule="exact"/>
        <w:ind w:firstLine="640" w:firstLineChars="200"/>
        <w:rPr>
          <w:rFonts w:hint="eastAsia" w:ascii="仿宋" w:hAnsi="仿宋" w:eastAsia="仿宋" w:cs="仿宋"/>
          <w:color w:val="000000"/>
          <w:sz w:val="32"/>
          <w:szCs w:val="32"/>
          <w:lang w:val="en-US" w:eastAsia="zh-CN"/>
        </w:rPr>
      </w:pPr>
    </w:p>
    <w:p>
      <w:pPr>
        <w:spacing w:after="120" w:afterLines="50" w:line="600" w:lineRule="exac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附件</w:t>
      </w:r>
      <w:r>
        <w:rPr>
          <w:rFonts w:hint="eastAsia" w:ascii="Times New Roman" w:hAnsi="Times New Roman" w:eastAsia="黑体" w:cs="Times New Roman"/>
          <w:sz w:val="24"/>
          <w:szCs w:val="24"/>
          <w:lang w:eastAsia="zh-CN"/>
        </w:rPr>
        <w:t>１</w:t>
      </w:r>
    </w:p>
    <w:p>
      <w:pPr>
        <w:spacing w:line="560" w:lineRule="exact"/>
        <w:jc w:val="center"/>
        <w:rPr>
          <w:rFonts w:hint="default" w:ascii="Times New Roman" w:hAnsi="Times New Roman" w:eastAsia="黑体" w:cs="Times New Roman"/>
          <w:kern w:val="0"/>
          <w:sz w:val="32"/>
          <w:szCs w:val="32"/>
        </w:rPr>
      </w:pPr>
      <w:r>
        <w:rPr>
          <w:rFonts w:ascii="Times New Roman" w:hAnsi="Times New Roman" w:eastAsia="方正小标宋_GBK" w:cs="Times New Roman"/>
          <w:sz w:val="36"/>
          <w:szCs w:val="36"/>
        </w:rPr>
        <w:t>2021年度</w:t>
      </w:r>
      <w:r>
        <w:rPr>
          <w:rFonts w:hint="default"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ascii="Times New Roman" w:hAnsi="Times New Roman" w:eastAsia="仿宋_GB2312" w:cs="Times New Roman"/>
          <w:kern w:val="0"/>
          <w:sz w:val="24"/>
          <w:szCs w:val="24"/>
        </w:rPr>
      </w:pPr>
      <w:r>
        <w:rPr>
          <w:rFonts w:hint="default" w:ascii="Times New Roman" w:hAnsi="Times New Roman" w:eastAsia="仿宋" w:cs="Times New Roman"/>
          <w:kern w:val="0"/>
          <w:sz w:val="24"/>
          <w:szCs w:val="24"/>
        </w:rPr>
        <w:t>填报单位：</w:t>
      </w:r>
      <w:r>
        <w:rPr>
          <w:rFonts w:hint="eastAsia" w:eastAsia="仿宋" w:cs="Times New Roman"/>
          <w:kern w:val="0"/>
          <w:sz w:val="24"/>
          <w:szCs w:val="24"/>
          <w:lang w:eastAsia="zh-CN"/>
        </w:rPr>
        <w:t>常德市食品药品检验所</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tbl>
      <w:tblPr>
        <w:tblStyle w:val="6"/>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财政供养人员情况</w:t>
            </w: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编制数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20</w:t>
            </w:r>
            <w:r>
              <w:rPr>
                <w:rFonts w:hint="default" w:ascii="Times New Roman" w:hAnsi="Times New Roman" w:eastAsia="仿宋" w:cs="Times New Roman"/>
                <w:bCs/>
                <w:kern w:val="0"/>
                <w:sz w:val="24"/>
                <w:szCs w:val="24"/>
                <w:lang w:val="en-US" w:eastAsia="zh-CN"/>
              </w:rPr>
              <w:t>2</w:t>
            </w:r>
            <w:r>
              <w:rPr>
                <w:rFonts w:hint="eastAsia" w:ascii="Times New Roman" w:hAnsi="Times New Roman" w:eastAsia="仿宋" w:cs="Times New Roman"/>
                <w:bCs/>
                <w:kern w:val="0"/>
                <w:sz w:val="24"/>
                <w:szCs w:val="24"/>
                <w:lang w:val="en-US" w:eastAsia="zh-CN"/>
              </w:rPr>
              <w:t>1</w:t>
            </w:r>
            <w:r>
              <w:rPr>
                <w:rFonts w:hint="default" w:ascii="Times New Roman" w:hAnsi="Times New Roman" w:eastAsia="仿宋" w:cs="Times New Roman"/>
                <w:bCs/>
                <w:kern w:val="0"/>
                <w:sz w:val="24"/>
                <w:szCs w:val="24"/>
              </w:rPr>
              <w:t>年实际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在职人数</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526"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28</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26</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92.86%</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60" w:hRule="atLeast"/>
          <w:jc w:val="center"/>
        </w:trPr>
        <w:tc>
          <w:tcPr>
            <w:tcW w:w="3322"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黑体" w:cs="Times New Roman"/>
                <w:kern w:val="0"/>
                <w:sz w:val="24"/>
                <w:szCs w:val="24"/>
              </w:rPr>
            </w:pPr>
          </w:p>
        </w:tc>
        <w:tc>
          <w:tcPr>
            <w:tcW w:w="1856" w:type="dxa"/>
            <w:gridSpan w:val="2"/>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黑体" w:cs="Times New Roman"/>
                <w:bCs/>
                <w:kern w:val="0"/>
                <w:sz w:val="24"/>
                <w:szCs w:val="24"/>
              </w:rPr>
            </w:pPr>
          </w:p>
        </w:tc>
        <w:tc>
          <w:tcPr>
            <w:tcW w:w="1984" w:type="dxa"/>
            <w:gridSpan w:val="2"/>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黑体" w:cs="Times New Roman"/>
                <w:bCs/>
                <w:kern w:val="0"/>
                <w:sz w:val="24"/>
                <w:szCs w:val="24"/>
              </w:rPr>
            </w:pPr>
          </w:p>
        </w:tc>
        <w:tc>
          <w:tcPr>
            <w:tcW w:w="1957" w:type="dxa"/>
            <w:gridSpan w:val="2"/>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黑体" w:cs="Times New Roman"/>
                <w:bCs/>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经费控制情况</w:t>
            </w: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eastAsia" w:ascii="Times New Roman" w:hAnsi="Times New Roman" w:eastAsia="黑体" w:cs="Times New Roman"/>
                <w:bCs/>
                <w:kern w:val="0"/>
                <w:sz w:val="24"/>
                <w:szCs w:val="24"/>
                <w:lang w:val="en-US" w:eastAsia="zh-CN"/>
              </w:rPr>
              <w:t>20</w:t>
            </w:r>
            <w:r>
              <w:rPr>
                <w:rFonts w:hint="default" w:ascii="Times New Roman" w:hAnsi="Times New Roman" w:eastAsia="黑体" w:cs="Times New Roman"/>
                <w:bCs/>
                <w:kern w:val="0"/>
                <w:sz w:val="24"/>
                <w:szCs w:val="24"/>
              </w:rPr>
              <w:t>年决算数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w:t>
            </w:r>
            <w:r>
              <w:rPr>
                <w:rFonts w:hint="eastAsia" w:ascii="Times New Roman" w:hAnsi="Times New Roman" w:eastAsia="黑体" w:cs="Times New Roman"/>
                <w:bCs/>
                <w:kern w:val="0"/>
                <w:sz w:val="24"/>
                <w:szCs w:val="24"/>
                <w:lang w:val="en-US" w:eastAsia="zh-CN"/>
              </w:rPr>
              <w:t>1</w:t>
            </w:r>
            <w:r>
              <w:rPr>
                <w:rFonts w:hint="default" w:ascii="Times New Roman" w:hAnsi="Times New Roman" w:eastAsia="黑体" w:cs="Times New Roman"/>
                <w:bCs/>
                <w:kern w:val="0"/>
                <w:sz w:val="24"/>
                <w:szCs w:val="24"/>
              </w:rPr>
              <w:t>年预算数</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w:t>
            </w:r>
            <w:r>
              <w:rPr>
                <w:rFonts w:hint="eastAsia" w:ascii="Times New Roman" w:hAnsi="Times New Roman" w:eastAsia="黑体" w:cs="Times New Roman"/>
                <w:bCs/>
                <w:kern w:val="0"/>
                <w:sz w:val="24"/>
                <w:szCs w:val="24"/>
                <w:lang w:val="en-US" w:eastAsia="zh-CN"/>
              </w:rPr>
              <w:t>1</w:t>
            </w:r>
            <w:r>
              <w:rPr>
                <w:rFonts w:hint="default" w:ascii="Times New Roman" w:hAnsi="Times New Roman" w:eastAsia="黑体" w:cs="Times New Roman"/>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5.76</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9</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24</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5.4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7</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24</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17.1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5.4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7</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6.9</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0.36</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2</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 xml:space="preserve">    1</w:t>
            </w:r>
            <w:r>
              <w:rPr>
                <w:rFonts w:hint="default" w:ascii="Times New Roman" w:hAnsi="Times New Roman" w:eastAsia="仿宋" w:cs="Times New Roman"/>
                <w:kern w:val="0"/>
                <w:sz w:val="24"/>
                <w:szCs w:val="24"/>
                <w:lang w:val="en-US" w:eastAsia="zh-CN"/>
              </w:rPr>
              <w:t>.</w:t>
            </w:r>
            <w:r>
              <w:rPr>
                <w:rFonts w:hint="eastAsia" w:eastAsia="仿宋" w:cs="Times New Roman"/>
                <w:kern w:val="0"/>
                <w:sz w:val="24"/>
                <w:szCs w:val="24"/>
                <w:lang w:eastAsia="zh-CN"/>
              </w:rPr>
              <w:t>特定目标类项目支出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 xml:space="preserve">    2</w:t>
            </w:r>
            <w:r>
              <w:rPr>
                <w:rFonts w:hint="default" w:ascii="Times New Roman" w:hAnsi="Times New Roman" w:eastAsia="仿宋" w:cs="Times New Roman"/>
                <w:kern w:val="0"/>
                <w:sz w:val="24"/>
                <w:szCs w:val="24"/>
                <w:lang w:val="en-US" w:eastAsia="zh-CN"/>
              </w:rPr>
              <w:t>.</w:t>
            </w:r>
            <w:r>
              <w:rPr>
                <w:rFonts w:hint="eastAsia" w:eastAsia="仿宋" w:cs="Times New Roman"/>
                <w:kern w:val="0"/>
                <w:sz w:val="24"/>
                <w:szCs w:val="24"/>
                <w:lang w:eastAsia="zh-CN"/>
              </w:rPr>
              <w:t>其他运转类项目支出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79.5</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eastAsia="仿宋" w:cs="Times New Roman"/>
                <w:kern w:val="0"/>
                <w:sz w:val="24"/>
                <w:szCs w:val="24"/>
                <w:lang w:val="en-US" w:eastAsia="zh-CN"/>
              </w:rPr>
              <w:t>68.77</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eastAsia="仿宋" w:cs="Times New Roman"/>
                <w:kern w:val="0"/>
                <w:sz w:val="24"/>
                <w:szCs w:val="24"/>
                <w:lang w:val="en-US" w:eastAsia="zh-CN"/>
              </w:rPr>
              <w:t>103.23</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9.22</w:t>
            </w:r>
            <w:r>
              <w:rPr>
                <w:rFonts w:hint="default" w:ascii="Times New Roman" w:hAnsi="Times New Roman" w:eastAsia="仿宋" w:cs="Times New Roman"/>
                <w:color w:val="000000"/>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2</w:t>
            </w:r>
            <w:r>
              <w:rPr>
                <w:rFonts w:hint="default" w:ascii="Times New Roman" w:hAnsi="Times New Roman" w:eastAsia="仿宋" w:cs="Times New Roman"/>
                <w:color w:val="00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　</w:t>
            </w:r>
            <w:r>
              <w:rPr>
                <w:rFonts w:hint="eastAsia" w:eastAsia="仿宋" w:cs="Times New Roman"/>
                <w:color w:val="000000"/>
                <w:kern w:val="0"/>
                <w:sz w:val="24"/>
                <w:szCs w:val="24"/>
                <w:lang w:val="en-US" w:eastAsia="zh-CN"/>
              </w:rPr>
              <w:t>8.86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2.印刷费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3.13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2</w:t>
            </w:r>
            <w:r>
              <w:rPr>
                <w:rFonts w:hint="default" w:ascii="Times New Roman" w:hAnsi="Times New Roman" w:eastAsia="仿宋" w:cs="Times New Roman"/>
                <w:color w:val="00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　</w:t>
            </w:r>
            <w:r>
              <w:rPr>
                <w:rFonts w:hint="eastAsia" w:eastAsia="仿宋" w:cs="Times New Roman"/>
                <w:color w:val="000000"/>
                <w:kern w:val="0"/>
                <w:sz w:val="24"/>
                <w:szCs w:val="24"/>
                <w:lang w:val="en-US" w:eastAsia="zh-CN"/>
              </w:rPr>
              <w:t>1.46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3.邮电费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7.33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3.04</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8.34</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3.67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　</w:t>
            </w:r>
            <w:r>
              <w:rPr>
                <w:rFonts w:hint="eastAsia" w:eastAsia="仿宋" w:cs="Times New Roman"/>
                <w:color w:val="000000"/>
                <w:kern w:val="0"/>
                <w:sz w:val="24"/>
                <w:szCs w:val="24"/>
                <w:lang w:val="en-US" w:eastAsia="zh-CN"/>
              </w:rPr>
              <w:t>1</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　</w:t>
            </w:r>
            <w:r>
              <w:rPr>
                <w:rFonts w:hint="eastAsia" w:eastAsia="仿宋" w:cs="Times New Roman"/>
                <w:color w:val="000000"/>
                <w:kern w:val="0"/>
                <w:sz w:val="24"/>
                <w:szCs w:val="24"/>
                <w:lang w:val="en-US" w:eastAsia="zh-CN"/>
              </w:rPr>
              <w:t>0.69</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5.维修（护)费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3.40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1.69</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7.公务接待费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0.35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2</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8.工会经费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2.40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2.58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15.65</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9.福利费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14.73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5.1</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18.39</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10.公务用车运行维护费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5.38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7</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6.9</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11.其他交通费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4.26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4</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2.83</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3</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13.物业管理费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0.16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11.07</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0.16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14.专用材料费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0.08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2.34</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15.劳务费</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7.82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4.86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16.税金及附加费用</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0.098</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17.其他商品和服务支出</w:t>
            </w:r>
          </w:p>
        </w:tc>
        <w:tc>
          <w:tcPr>
            <w:tcW w:w="185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17.57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23.98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30.95</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12.04</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70.75</w:t>
            </w:r>
            <w:r>
              <w:rPr>
                <w:rFonts w:hint="default" w:ascii="Times New Roman" w:hAnsi="Times New Roman" w:eastAsia="仿宋" w:cs="Times New Roman"/>
                <w:color w:val="00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　</w:t>
            </w:r>
            <w:r>
              <w:rPr>
                <w:rFonts w:hint="eastAsia" w:eastAsia="仿宋" w:cs="Times New Roman"/>
                <w:color w:val="000000"/>
                <w:kern w:val="0"/>
                <w:sz w:val="24"/>
                <w:szCs w:val="24"/>
                <w:lang w:val="en-US" w:eastAsia="zh-CN"/>
              </w:rPr>
              <w:t>797.53</w:t>
            </w:r>
          </w:p>
        </w:tc>
      </w:tr>
      <w:tr>
        <w:tblPrEx>
          <w:tblCellMar>
            <w:top w:w="0" w:type="dxa"/>
            <w:left w:w="108" w:type="dxa"/>
            <w:bottom w:w="0" w:type="dxa"/>
            <w:right w:w="108" w:type="dxa"/>
          </w:tblCellMar>
        </w:tblPrEx>
        <w:trPr>
          <w:trHeight w:val="371"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90" w:hRule="atLeast"/>
          <w:jc w:val="center"/>
        </w:trPr>
        <w:tc>
          <w:tcPr>
            <w:tcW w:w="3322"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
                <w:bCs/>
                <w:kern w:val="0"/>
                <w:sz w:val="24"/>
                <w:szCs w:val="24"/>
              </w:rPr>
            </w:pPr>
          </w:p>
        </w:tc>
        <w:tc>
          <w:tcPr>
            <w:tcW w:w="1106"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rPr>
            </w:pPr>
          </w:p>
        </w:tc>
        <w:tc>
          <w:tcPr>
            <w:tcW w:w="750"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rPr>
            </w:pPr>
          </w:p>
        </w:tc>
        <w:tc>
          <w:tcPr>
            <w:tcW w:w="934"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rPr>
            </w:pPr>
          </w:p>
        </w:tc>
        <w:tc>
          <w:tcPr>
            <w:tcW w:w="1050"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lang w:val="en-US" w:eastAsia="zh-CN"/>
              </w:rPr>
            </w:pPr>
          </w:p>
        </w:tc>
        <w:tc>
          <w:tcPr>
            <w:tcW w:w="1009"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lang w:val="en-US" w:eastAsia="zh-CN"/>
              </w:rPr>
            </w:pPr>
          </w:p>
        </w:tc>
        <w:tc>
          <w:tcPr>
            <w:tcW w:w="948" w:type="dxa"/>
            <w:tcBorders>
              <w:top w:val="single" w:color="auto" w:sz="4" w:space="0"/>
              <w:left w:val="nil"/>
              <w:bottom w:val="single" w:color="auto" w:sz="4" w:space="0"/>
              <w:right w:val="nil"/>
            </w:tcBorders>
            <w:noWrap w:val="0"/>
            <w:vAlign w:val="center"/>
          </w:tcPr>
          <w:p>
            <w:pPr>
              <w:widowControl/>
              <w:jc w:val="center"/>
              <w:rPr>
                <w:rFonts w:hint="default" w:ascii="Times New Roman" w:hAnsi="Times New Roman" w:eastAsia="仿宋" w:cs="Times New Roman"/>
                <w:bCs/>
                <w:kern w:val="0"/>
                <w:sz w:val="24"/>
                <w:szCs w:val="24"/>
              </w:rPr>
            </w:pPr>
          </w:p>
        </w:tc>
      </w:tr>
      <w:tr>
        <w:tblPrEx>
          <w:tblCellMar>
            <w:top w:w="0" w:type="dxa"/>
            <w:left w:w="108" w:type="dxa"/>
            <w:bottom w:w="0" w:type="dxa"/>
            <w:right w:w="108" w:type="dxa"/>
          </w:tblCellMar>
        </w:tblPrEx>
        <w:trPr>
          <w:trHeight w:val="1154"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楼堂馆所控制情况</w:t>
            </w:r>
            <w:r>
              <w:rPr>
                <w:rFonts w:hint="default" w:ascii="Times New Roman" w:hAnsi="Times New Roman" w:eastAsia="仿宋" w:cs="Times New Roman"/>
                <w:b/>
                <w:bCs/>
                <w:kern w:val="0"/>
                <w:sz w:val="24"/>
                <w:szCs w:val="24"/>
              </w:rPr>
              <w:br w:type="textWrapping"/>
            </w:r>
            <w:r>
              <w:rPr>
                <w:rFonts w:hint="default"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lang w:val="en-US" w:eastAsia="zh-CN"/>
              </w:rPr>
              <w:t>21</w:t>
            </w:r>
            <w:r>
              <w:rPr>
                <w:rFonts w:hint="default" w:ascii="Times New Roman" w:hAnsi="Times New Roman" w:eastAsia="仿宋" w:cs="Times New Roman"/>
                <w:b/>
                <w:bCs/>
                <w:kern w:val="0"/>
                <w:sz w:val="24"/>
                <w:szCs w:val="24"/>
              </w:rPr>
              <w:t>年完工项目）</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批复</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r>
              <w:rPr>
                <w:rFonts w:hint="default" w:ascii="Times New Roman" w:hAnsi="Times New Roman" w:eastAsia="仿宋" w:cs="Times New Roman"/>
                <w:bCs/>
                <w:kern w:val="0"/>
                <w:sz w:val="24"/>
                <w:szCs w:val="24"/>
              </w:rPr>
              <w:br w:type="textWrapping"/>
            </w: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default" w:ascii="Times New Roman" w:hAnsi="Times New Roman" w:eastAsia="仿宋" w:cs="Times New Roman"/>
                <w:bCs/>
                <w:kern w:val="0"/>
                <w:sz w:val="24"/>
                <w:szCs w:val="24"/>
                <w:lang w:val="en-US" w:eastAsia="zh-CN"/>
              </w:rPr>
              <w:t>)</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rPr>
              <w:t>实际规模</w:t>
            </w: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default" w:ascii="Times New Roman" w:hAnsi="Times New Roman" w:eastAsia="仿宋" w:cs="Times New Roman"/>
                <w:bCs/>
                <w:kern w:val="0"/>
                <w:sz w:val="24"/>
                <w:szCs w:val="24"/>
                <w:lang w:val="en-US" w:eastAsia="zh-CN"/>
              </w:rPr>
              <w:t>)</w:t>
            </w:r>
          </w:p>
        </w:tc>
        <w:tc>
          <w:tcPr>
            <w:tcW w:w="9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预算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default" w:ascii="Times New Roman" w:hAnsi="Times New Roman" w:eastAsia="仿宋" w:cs="Times New Roman"/>
                <w:bCs/>
                <w:kern w:val="0"/>
                <w:sz w:val="24"/>
                <w:szCs w:val="24"/>
                <w:lang w:val="en-US" w:eastAsia="zh-CN"/>
              </w:rPr>
              <w:t>)</w:t>
            </w:r>
          </w:p>
        </w:tc>
        <w:tc>
          <w:tcPr>
            <w:tcW w:w="10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default" w:ascii="Times New Roman" w:hAnsi="Times New Roman" w:eastAsia="仿宋" w:cs="Times New Roman"/>
                <w:bCs/>
                <w:kern w:val="0"/>
                <w:sz w:val="24"/>
                <w:szCs w:val="24"/>
                <w:lang w:val="en-US" w:eastAsia="zh-CN"/>
              </w:rPr>
              <w:t>)</w:t>
            </w:r>
          </w:p>
        </w:tc>
        <w:tc>
          <w:tcPr>
            <w:tcW w:w="94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概算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665"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2"/>
        </w:rPr>
      </w:pPr>
      <w:r>
        <w:rPr>
          <w:rFonts w:hint="eastAsia" w:ascii="仿宋" w:hAnsi="仿宋" w:eastAsia="仿宋" w:cs="仿宋"/>
          <w:kern w:val="0"/>
          <w:sz w:val="24"/>
          <w:szCs w:val="24"/>
        </w:rPr>
        <w:t>说明：</w:t>
      </w:r>
      <w:r>
        <w:rPr>
          <w:rFonts w:hint="eastAsia" w:ascii="仿宋" w:hAnsi="仿宋" w:eastAsia="仿宋" w:cs="仿宋"/>
          <w:sz w:val="22"/>
        </w:rPr>
        <w:t>“项目支出”需要填报基本支出以外的所有项目支出情况，“公用经费”填报基本支出中的一般商品和服务支出。</w:t>
      </w:r>
    </w:p>
    <w:p>
      <w:pPr>
        <w:rPr>
          <w:rFonts w:hint="eastAsia" w:ascii="仿宋" w:hAnsi="仿宋" w:eastAsia="仿宋" w:cs="仿宋"/>
          <w:sz w:val="22"/>
        </w:rPr>
      </w:pPr>
    </w:p>
    <w:p>
      <w:pPr>
        <w:rPr>
          <w:rFonts w:hint="eastAsia" w:ascii="仿宋" w:hAnsi="仿宋" w:eastAsia="仿宋" w:cs="仿宋"/>
          <w:sz w:val="22"/>
        </w:rPr>
      </w:pPr>
    </w:p>
    <w:p>
      <w:pPr>
        <w:spacing w:line="560" w:lineRule="exact"/>
        <w:ind w:firstLine="440" w:firstLineChars="200"/>
        <w:rPr>
          <w:rFonts w:hint="eastAsia" w:ascii="仿宋" w:hAnsi="仿宋" w:eastAsia="仿宋" w:cs="仿宋"/>
          <w:sz w:val="22"/>
        </w:rPr>
      </w:pPr>
      <w:r>
        <w:rPr>
          <w:rFonts w:hint="eastAsia" w:ascii="仿宋" w:hAnsi="仿宋" w:eastAsia="仿宋" w:cs="仿宋"/>
          <w:sz w:val="22"/>
        </w:rPr>
        <w:t>填表人：</w:t>
      </w:r>
      <w:r>
        <w:rPr>
          <w:rFonts w:hint="eastAsia" w:ascii="仿宋" w:hAnsi="仿宋" w:eastAsia="仿宋" w:cs="仿宋"/>
          <w:sz w:val="22"/>
          <w:lang w:eastAsia="zh-CN"/>
        </w:rPr>
        <w:t>冯霞</w:t>
      </w:r>
      <w:r>
        <w:rPr>
          <w:rFonts w:hint="eastAsia" w:ascii="仿宋" w:hAnsi="仿宋" w:eastAsia="仿宋" w:cs="仿宋"/>
          <w:sz w:val="22"/>
        </w:rPr>
        <w:t xml:space="preserve"> </w:t>
      </w:r>
      <w:r>
        <w:rPr>
          <w:rFonts w:hint="eastAsia" w:ascii="仿宋" w:hAnsi="仿宋" w:eastAsia="仿宋" w:cs="仿宋"/>
          <w:sz w:val="22"/>
          <w:lang w:val="en-US" w:eastAsia="zh-CN"/>
        </w:rPr>
        <w:t xml:space="preserve">      </w:t>
      </w:r>
      <w:r>
        <w:rPr>
          <w:rFonts w:hint="eastAsia" w:ascii="仿宋" w:hAnsi="仿宋" w:eastAsia="仿宋" w:cs="仿宋"/>
          <w:sz w:val="22"/>
        </w:rPr>
        <w:t xml:space="preserve">  填报日期： </w:t>
      </w:r>
      <w:r>
        <w:rPr>
          <w:rFonts w:hint="eastAsia" w:ascii="仿宋" w:hAnsi="仿宋" w:eastAsia="仿宋" w:cs="仿宋"/>
          <w:sz w:val="22"/>
          <w:lang w:val="en-US" w:eastAsia="zh-CN"/>
        </w:rPr>
        <w:t>2022.6.16</w:t>
      </w:r>
      <w:r>
        <w:rPr>
          <w:rFonts w:hint="eastAsia" w:ascii="仿宋" w:hAnsi="仿宋" w:eastAsia="仿宋" w:cs="仿宋"/>
          <w:sz w:val="22"/>
        </w:rPr>
        <w:t xml:space="preserve">   </w:t>
      </w:r>
      <w:r>
        <w:rPr>
          <w:rFonts w:hint="eastAsia" w:ascii="仿宋" w:hAnsi="仿宋" w:eastAsia="仿宋" w:cs="仿宋"/>
          <w:sz w:val="22"/>
          <w:lang w:val="en-US" w:eastAsia="zh-CN"/>
        </w:rPr>
        <w:t xml:space="preserve">     </w:t>
      </w:r>
      <w:r>
        <w:rPr>
          <w:rFonts w:hint="eastAsia" w:ascii="仿宋" w:hAnsi="仿宋" w:eastAsia="仿宋" w:cs="仿宋"/>
          <w:sz w:val="22"/>
        </w:rPr>
        <w:t>联系电话：</w:t>
      </w:r>
      <w:r>
        <w:rPr>
          <w:rFonts w:hint="eastAsia" w:ascii="仿宋" w:hAnsi="仿宋" w:eastAsia="仿宋" w:cs="仿宋"/>
          <w:sz w:val="22"/>
          <w:lang w:val="en-US" w:eastAsia="zh-CN"/>
        </w:rPr>
        <w:t>18973620988</w:t>
      </w:r>
      <w:r>
        <w:rPr>
          <w:rFonts w:hint="eastAsia" w:ascii="仿宋" w:hAnsi="仿宋" w:eastAsia="仿宋" w:cs="仿宋"/>
          <w:sz w:val="22"/>
        </w:rPr>
        <w:t xml:space="preserve">   </w:t>
      </w:r>
    </w:p>
    <w:p>
      <w:pPr>
        <w:spacing w:line="560" w:lineRule="exact"/>
        <w:ind w:firstLine="440" w:firstLineChars="200"/>
        <w:rPr>
          <w:rFonts w:hint="eastAsia" w:ascii="仿宋" w:hAnsi="仿宋" w:eastAsia="仿宋" w:cs="仿宋"/>
          <w:sz w:val="22"/>
        </w:rPr>
      </w:pPr>
    </w:p>
    <w:p>
      <w:pPr>
        <w:spacing w:line="560" w:lineRule="exact"/>
        <w:ind w:firstLine="440" w:firstLineChars="200"/>
        <w:rPr>
          <w:rFonts w:hint="eastAsia" w:ascii="仿宋" w:hAnsi="仿宋" w:eastAsia="仿宋" w:cs="仿宋"/>
          <w:sz w:val="22"/>
        </w:rPr>
      </w:pPr>
    </w:p>
    <w:p>
      <w:pPr>
        <w:spacing w:line="560" w:lineRule="exact"/>
        <w:ind w:firstLine="440" w:firstLineChars="200"/>
        <w:rPr>
          <w:rFonts w:hint="eastAsia" w:ascii="仿宋" w:hAnsi="仿宋" w:eastAsia="仿宋" w:cs="仿宋"/>
          <w:sz w:val="22"/>
        </w:rPr>
      </w:pPr>
    </w:p>
    <w:p>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黑体" w:cs="Times New Roman"/>
          <w:sz w:val="24"/>
          <w:szCs w:val="24"/>
        </w:rPr>
      </w:pPr>
    </w:p>
    <w:p>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黑体" w:cs="Times New Roman"/>
          <w:sz w:val="24"/>
          <w:szCs w:val="24"/>
        </w:rPr>
      </w:pPr>
    </w:p>
    <w:p>
      <w:pPr>
        <w:keepNext w:val="0"/>
        <w:keepLines w:val="0"/>
        <w:pageBreakBefore w:val="0"/>
        <w:widowControl/>
        <w:kinsoku/>
        <w:wordWrap/>
        <w:overflowPunct/>
        <w:topLinePunct w:val="0"/>
        <w:autoSpaceDE/>
        <w:autoSpaceDN/>
        <w:bidi w:val="0"/>
        <w:adjustRightInd/>
        <w:snapToGrid/>
        <w:jc w:val="left"/>
        <w:textAlignment w:val="auto"/>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附件</w:t>
      </w:r>
      <w:r>
        <w:rPr>
          <w:rFonts w:hint="eastAsia" w:ascii="Times New Roman" w:hAnsi="Times New Roman" w:eastAsia="黑体" w:cs="Times New Roman"/>
          <w:sz w:val="24"/>
          <w:szCs w:val="24"/>
          <w:lang w:eastAsia="zh-CN"/>
        </w:rPr>
        <w:t>２</w:t>
      </w:r>
    </w:p>
    <w:p>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黑体" w:cs="Times New Roman"/>
          <w:sz w:val="24"/>
          <w:szCs w:val="24"/>
        </w:rPr>
      </w:pPr>
    </w:p>
    <w:p>
      <w:pPr>
        <w:widowControl/>
        <w:spacing w:after="120" w:afterLines="50"/>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2021年度部门整体支出绩效自评表</w:t>
      </w:r>
    </w:p>
    <w:tbl>
      <w:tblPr>
        <w:tblStyle w:val="6"/>
        <w:tblW w:w="10079" w:type="dxa"/>
        <w:jc w:val="center"/>
        <w:tblLayout w:type="autofit"/>
        <w:tblCellMar>
          <w:top w:w="0" w:type="dxa"/>
          <w:left w:w="108" w:type="dxa"/>
          <w:bottom w:w="0" w:type="dxa"/>
          <w:right w:w="108" w:type="dxa"/>
        </w:tblCellMar>
      </w:tblPr>
      <w:tblGrid>
        <w:gridCol w:w="1018"/>
        <w:gridCol w:w="1019"/>
        <w:gridCol w:w="972"/>
        <w:gridCol w:w="833"/>
        <w:gridCol w:w="448"/>
        <w:gridCol w:w="495"/>
        <w:gridCol w:w="1044"/>
        <w:gridCol w:w="1362"/>
        <w:gridCol w:w="690"/>
        <w:gridCol w:w="869"/>
        <w:gridCol w:w="1329"/>
      </w:tblGrid>
      <w:tr>
        <w:tblPrEx>
          <w:tblCellMar>
            <w:top w:w="0" w:type="dxa"/>
            <w:left w:w="108" w:type="dxa"/>
            <w:bottom w:w="0" w:type="dxa"/>
            <w:right w:w="108" w:type="dxa"/>
          </w:tblCellMar>
        </w:tblPrEx>
        <w:trPr>
          <w:trHeight w:val="80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rPr>
              <w:t>预算单位</w:t>
            </w:r>
            <w:r>
              <w:rPr>
                <w:rFonts w:hint="eastAsia" w:ascii="黑体" w:hAnsi="黑体" w:eastAsia="黑体" w:cs="黑体"/>
                <w:color w:val="000000"/>
                <w:sz w:val="20"/>
                <w:szCs w:val="20"/>
              </w:rPr>
              <w:t>名</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称</w:t>
            </w:r>
          </w:p>
        </w:tc>
        <w:tc>
          <w:tcPr>
            <w:tcW w:w="8999"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常德市食品药品检验所</w:t>
            </w: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年度预</w:t>
            </w:r>
          </w:p>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算申请</w:t>
            </w:r>
            <w:r>
              <w:rPr>
                <w:rFonts w:hint="eastAsia" w:ascii="黑体" w:hAnsi="黑体" w:eastAsia="黑体" w:cs="黑体"/>
                <w:color w:val="000000"/>
                <w:sz w:val="20"/>
                <w:szCs w:val="20"/>
              </w:rPr>
              <w:br w:type="textWrapping"/>
            </w:r>
            <w:r>
              <w:rPr>
                <w:rFonts w:hint="eastAsia" w:ascii="黑体" w:hAnsi="黑体" w:eastAsia="黑体" w:cs="黑体"/>
                <w:color w:val="000000"/>
                <w:sz w:val="20"/>
                <w:szCs w:val="20"/>
              </w:rPr>
              <w:t>（万元）</w:t>
            </w:r>
          </w:p>
        </w:tc>
        <w:tc>
          <w:tcPr>
            <w:tcW w:w="213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p>
        </w:tc>
        <w:tc>
          <w:tcPr>
            <w:tcW w:w="840" w:type="dxa"/>
            <w:tcBorders>
              <w:top w:val="nil"/>
              <w:left w:val="nil"/>
              <w:bottom w:val="single" w:color="auto" w:sz="4" w:space="0"/>
              <w:right w:val="single" w:color="auto" w:sz="4" w:space="0"/>
            </w:tcBorders>
            <w:noWrap w:val="0"/>
            <w:vAlign w:val="center"/>
          </w:tcPr>
          <w:p>
            <w:pPr>
              <w:spacing w:line="240" w:lineRule="exact"/>
              <w:jc w:val="center"/>
              <w:rPr>
                <w:rFonts w:hint="eastAsia" w:eastAsia="仿宋" w:cs="Times New Roman"/>
                <w:sz w:val="20"/>
                <w:szCs w:val="20"/>
                <w:lang w:eastAsia="zh-CN"/>
              </w:rPr>
            </w:pPr>
            <w:r>
              <w:rPr>
                <w:rFonts w:hint="eastAsia" w:eastAsia="仿宋" w:cs="Times New Roman"/>
                <w:sz w:val="20"/>
                <w:szCs w:val="20"/>
                <w:lang w:eastAsia="zh-CN"/>
              </w:rPr>
              <w:t>上年</w:t>
            </w:r>
          </w:p>
          <w:p>
            <w:pPr>
              <w:spacing w:line="240" w:lineRule="exact"/>
              <w:jc w:val="center"/>
              <w:rPr>
                <w:rFonts w:hint="eastAsia" w:ascii="Times New Roman" w:hAnsi="Times New Roman" w:eastAsia="仿宋" w:cs="Times New Roman"/>
                <w:sz w:val="20"/>
                <w:szCs w:val="20"/>
                <w:lang w:eastAsia="zh-CN"/>
              </w:rPr>
            </w:pPr>
            <w:r>
              <w:rPr>
                <w:rFonts w:hint="eastAsia" w:eastAsia="仿宋" w:cs="Times New Roman"/>
                <w:sz w:val="20"/>
                <w:szCs w:val="20"/>
                <w:lang w:eastAsia="zh-CN"/>
              </w:rPr>
              <w:t>结转</w:t>
            </w:r>
          </w:p>
        </w:tc>
        <w:tc>
          <w:tcPr>
            <w:tcW w:w="90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年初</w:t>
            </w:r>
          </w:p>
          <w:p>
            <w:pPr>
              <w:spacing w:line="240" w:lineRule="exact"/>
              <w:jc w:val="center"/>
              <w:rPr>
                <w:rFonts w:hint="default" w:ascii="Times New Roman" w:hAnsi="Times New Roman" w:eastAsia="仿宋" w:cs="Times New Roman"/>
                <w:kern w:val="2"/>
                <w:sz w:val="20"/>
                <w:szCs w:val="20"/>
                <w:lang w:val="en-US" w:eastAsia="zh-CN" w:bidi="ar-SA"/>
              </w:rPr>
            </w:pPr>
            <w:r>
              <w:rPr>
                <w:rFonts w:hint="default" w:ascii="Times New Roman" w:hAnsi="Times New Roman" w:eastAsia="仿宋" w:cs="Times New Roman"/>
                <w:sz w:val="20"/>
                <w:szCs w:val="20"/>
              </w:rPr>
              <w:t>预算</w:t>
            </w:r>
          </w:p>
        </w:tc>
        <w:tc>
          <w:tcPr>
            <w:tcW w:w="81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2"/>
                <w:sz w:val="20"/>
                <w:szCs w:val="20"/>
                <w:lang w:val="en-US" w:eastAsia="zh-CN" w:bidi="ar-SA"/>
              </w:rPr>
            </w:pPr>
            <w:r>
              <w:rPr>
                <w:rFonts w:hint="default" w:ascii="Times New Roman" w:hAnsi="Times New Roman" w:eastAsia="仿宋" w:cs="Times New Roman"/>
                <w:sz w:val="20"/>
                <w:szCs w:val="20"/>
              </w:rPr>
              <w:t>全年预算</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88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438"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tblPrEx>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sz w:val="20"/>
                <w:szCs w:val="20"/>
              </w:rPr>
            </w:pPr>
          </w:p>
        </w:tc>
        <w:tc>
          <w:tcPr>
            <w:tcW w:w="213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年度资金总额</w:t>
            </w:r>
          </w:p>
        </w:tc>
        <w:tc>
          <w:tcPr>
            <w:tcW w:w="84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57.92</w:t>
            </w:r>
          </w:p>
        </w:tc>
        <w:tc>
          <w:tcPr>
            <w:tcW w:w="90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722.73</w:t>
            </w:r>
          </w:p>
        </w:tc>
        <w:tc>
          <w:tcPr>
            <w:tcW w:w="81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1574.43</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1574.43</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rPr>
            </w:pPr>
            <w:r>
              <w:rPr>
                <w:rFonts w:hint="default" w:ascii="Times New Roman" w:hAnsi="Times New Roman" w:eastAsia="仿宋" w:cs="Times New Roman"/>
                <w:sz w:val="20"/>
                <w:szCs w:val="20"/>
              </w:rPr>
              <w:t>10</w:t>
            </w:r>
          </w:p>
        </w:tc>
        <w:tc>
          <w:tcPr>
            <w:tcW w:w="88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100%</w:t>
            </w:r>
          </w:p>
        </w:tc>
        <w:tc>
          <w:tcPr>
            <w:tcW w:w="1438"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sz w:val="20"/>
                <w:szCs w:val="20"/>
                <w:lang w:val="en-US" w:eastAsia="zh-CN"/>
              </w:rPr>
            </w:pPr>
            <w:r>
              <w:rPr>
                <w:rFonts w:hint="eastAsia" w:eastAsia="仿宋" w:cs="Times New Roman"/>
                <w:sz w:val="20"/>
                <w:szCs w:val="20"/>
                <w:lang w:val="en-US" w:eastAsia="zh-CN"/>
              </w:rPr>
              <w:t>10</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按支出性质分：</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xml:space="preserve">  其中：  一般公共预算：</w:t>
            </w:r>
            <w:r>
              <w:rPr>
                <w:rFonts w:hint="eastAsia" w:eastAsia="仿宋" w:cs="Times New Roman"/>
                <w:color w:val="000000"/>
                <w:sz w:val="20"/>
                <w:szCs w:val="20"/>
                <w:lang w:val="en-US" w:eastAsia="zh-CN"/>
              </w:rPr>
              <w:t>1574.43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其中：基本支出：</w:t>
            </w:r>
            <w:r>
              <w:rPr>
                <w:rFonts w:hint="eastAsia" w:eastAsia="仿宋" w:cs="Times New Roman"/>
                <w:color w:val="000000"/>
                <w:sz w:val="20"/>
                <w:szCs w:val="20"/>
                <w:lang w:val="en-US" w:eastAsia="zh-CN"/>
              </w:rPr>
              <w:t>678.23</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nil"/>
              <w:left w:val="nil"/>
              <w:bottom w:val="single" w:color="auto" w:sz="4" w:space="0"/>
              <w:right w:val="single" w:color="auto" w:sz="4" w:space="0"/>
            </w:tcBorders>
            <w:noWrap w:val="0"/>
            <w:vAlign w:val="center"/>
          </w:tcPr>
          <w:p>
            <w:pPr>
              <w:widowControl/>
              <w:spacing w:line="240" w:lineRule="exact"/>
              <w:ind w:firstLine="1000" w:firstLineChars="500"/>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项目支出：</w:t>
            </w:r>
            <w:r>
              <w:rPr>
                <w:rFonts w:hint="eastAsia" w:eastAsia="仿宋" w:cs="Times New Roman"/>
                <w:color w:val="000000"/>
                <w:sz w:val="20"/>
                <w:szCs w:val="20"/>
                <w:lang w:val="en-US" w:eastAsia="zh-CN"/>
              </w:rPr>
              <w:t>896.2</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年度总体目标</w:t>
            </w:r>
          </w:p>
        </w:tc>
        <w:tc>
          <w:tcPr>
            <w:tcW w:w="4695"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　</w:t>
            </w: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黑体" w:hAnsi="黑体" w:eastAsia="黑体" w:cs="黑体"/>
                <w:color w:val="000000"/>
                <w:sz w:val="20"/>
                <w:szCs w:val="20"/>
              </w:rPr>
            </w:pPr>
          </w:p>
        </w:tc>
        <w:tc>
          <w:tcPr>
            <w:tcW w:w="4695"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xml:space="preserve">目标1：按照规定准确、高效的完成药品、化妆品、医疗器械检验任务及三废处理工作；           </w:t>
            </w:r>
          </w:p>
          <w:p>
            <w:pPr>
              <w:widowControl/>
              <w:spacing w:line="24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目标2：提高药械化检验人员的业务素养。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按照规定准确、高效的完成药品、化妆品、医疗器械检验任务及三废处理工作</w:t>
            </w:r>
            <w:r>
              <w:rPr>
                <w:rFonts w:hint="eastAsia" w:eastAsia="仿宋" w:cs="Times New Roman"/>
                <w:color w:val="000000"/>
                <w:sz w:val="20"/>
                <w:szCs w:val="20"/>
                <w:lang w:eastAsia="zh-CN"/>
              </w:rPr>
              <w:t>；</w:t>
            </w:r>
            <w:r>
              <w:rPr>
                <w:rFonts w:hint="default" w:ascii="Times New Roman" w:hAnsi="Times New Roman" w:eastAsia="仿宋" w:cs="Times New Roman"/>
                <w:color w:val="000000"/>
                <w:sz w:val="20"/>
                <w:szCs w:val="20"/>
              </w:rPr>
              <w:t>提高药械化检验人员的业务</w:t>
            </w:r>
            <w:r>
              <w:rPr>
                <w:rFonts w:hint="eastAsia" w:eastAsia="仿宋" w:cs="Times New Roman"/>
                <w:color w:val="000000"/>
                <w:sz w:val="20"/>
                <w:szCs w:val="20"/>
                <w:lang w:eastAsia="zh-CN"/>
              </w:rPr>
              <w:t>综合素质</w:t>
            </w:r>
            <w:r>
              <w:rPr>
                <w:rFonts w:hint="default" w:ascii="Times New Roman" w:hAnsi="Times New Roman" w:eastAsia="仿宋" w:cs="Times New Roman"/>
                <w:color w:val="000000"/>
                <w:sz w:val="20"/>
                <w:szCs w:val="20"/>
              </w:rPr>
              <w:t>。</w:t>
            </w:r>
          </w:p>
        </w:tc>
      </w:tr>
      <w:tr>
        <w:tblPrEx>
          <w:tblCellMar>
            <w:top w:w="0" w:type="dxa"/>
            <w:left w:w="108" w:type="dxa"/>
            <w:bottom w:w="0" w:type="dxa"/>
            <w:right w:w="108" w:type="dxa"/>
          </w:tblCellMar>
        </w:tblPrEx>
        <w:trPr>
          <w:trHeight w:val="567"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绩</w:t>
            </w:r>
          </w:p>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效</w:t>
            </w:r>
          </w:p>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指</w:t>
            </w:r>
          </w:p>
          <w:p>
            <w:pPr>
              <w:widowControl/>
              <w:spacing w:line="240" w:lineRule="exact"/>
              <w:jc w:val="center"/>
              <w:rPr>
                <w:rFonts w:hint="eastAsia" w:ascii="黑体" w:hAnsi="黑体" w:eastAsia="黑体" w:cs="黑体"/>
                <w:color w:val="000000"/>
                <w:sz w:val="20"/>
                <w:szCs w:val="20"/>
              </w:rPr>
            </w:pPr>
            <w:r>
              <w:rPr>
                <w:rFonts w:hint="eastAsia" w:ascii="黑体" w:hAnsi="黑体" w:eastAsia="黑体" w:cs="黑体"/>
                <w:color w:val="000000"/>
                <w:sz w:val="20"/>
                <w:szCs w:val="20"/>
              </w:rPr>
              <w:t>标</w:t>
            </w:r>
          </w:p>
          <w:p>
            <w:pPr>
              <w:widowControl/>
              <w:spacing w:line="240" w:lineRule="exact"/>
              <w:jc w:val="center"/>
              <w:rPr>
                <w:rFonts w:hint="eastAsia" w:ascii="黑体" w:hAnsi="黑体" w:eastAsia="黑体" w:cs="黑体"/>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8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4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rPr>
              <w:t>50分</w:t>
            </w:r>
            <w:r>
              <w:rPr>
                <w:rFonts w:hint="default" w:ascii="Times New Roman" w:hAnsi="Times New Roman" w:eastAsia="仿宋" w:cs="Times New Roman"/>
                <w:color w:val="000000"/>
                <w:sz w:val="20"/>
                <w:szCs w:val="20"/>
                <w:lang w:eastAsia="zh-CN"/>
              </w:rPr>
              <w:t>）</w:t>
            </w:r>
          </w:p>
        </w:tc>
        <w:tc>
          <w:tcPr>
            <w:tcW w:w="1056"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完成药品抽检批次</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预计≥</w:t>
            </w:r>
            <w:r>
              <w:rPr>
                <w:rFonts w:hint="eastAsia" w:eastAsia="仿宋" w:cs="Times New Roman"/>
                <w:color w:val="000000"/>
                <w:sz w:val="20"/>
                <w:szCs w:val="20"/>
                <w:lang w:val="en-US" w:eastAsia="zh-CN"/>
              </w:rPr>
              <w:t>100批次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228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完成市级药品抽检</w:t>
            </w:r>
            <w:r>
              <w:rPr>
                <w:rFonts w:hint="eastAsia" w:eastAsia="仿宋" w:cs="Times New Roman"/>
                <w:color w:val="000000"/>
                <w:sz w:val="20"/>
                <w:szCs w:val="20"/>
                <w:lang w:val="en-US" w:eastAsia="zh-CN"/>
              </w:rPr>
              <w:t>95批次，完成省级药品抽检133批次</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药品检验人员业务培训</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26人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26人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检验准确率</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检验任务完成率</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各项工作任务完成时间</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2021.12.31前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2021.12.31前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年初预算控制</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w:t>
            </w:r>
            <w:r>
              <w:rPr>
                <w:rFonts w:hint="eastAsia" w:eastAsia="仿宋" w:cs="Times New Roman"/>
                <w:color w:val="000000"/>
                <w:sz w:val="20"/>
                <w:szCs w:val="20"/>
                <w:lang w:val="en-US" w:eastAsia="zh-CN"/>
              </w:rPr>
              <w:t>1574.43</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w:t>
            </w:r>
            <w:r>
              <w:rPr>
                <w:rFonts w:hint="eastAsia" w:eastAsia="仿宋" w:cs="Times New Roman"/>
                <w:color w:val="000000"/>
                <w:sz w:val="20"/>
                <w:szCs w:val="20"/>
                <w:lang w:val="en-US" w:eastAsia="zh-CN"/>
              </w:rPr>
              <w:t>1574.43</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加强预算编制的科学性及预算执行的准确率</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无</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不产生经济效益</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高效准确的检验工作为药品、医疗器械、化妆品监管工作提供有力的而依据，保障市民用药安全</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提供技术保障，保障市民用药安全</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提供技术保障，保障市民用药安全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6</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重大药品安全事故发生次数</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0次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0次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6</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检品废弃物处理率</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12</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12</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可持续影响指标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检验检测工作持续开展</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可持续</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可持续</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103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服务对象满意度指标</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药械化检验检测对象满意度</w:t>
            </w: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rPr>
            </w:pPr>
            <w:r>
              <w:rPr>
                <w:rFonts w:hint="eastAsia" w:eastAsia="仿宋" w:cs="Times New Roman"/>
                <w:color w:val="000000"/>
                <w:sz w:val="20"/>
                <w:szCs w:val="20"/>
                <w:lang w:val="en-US" w:eastAsia="zh-CN"/>
              </w:rPr>
              <w:t>≥85%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约</w:t>
            </w:r>
            <w:r>
              <w:rPr>
                <w:rFonts w:hint="eastAsia" w:eastAsia="仿宋" w:cs="Times New Roman"/>
                <w:color w:val="000000"/>
                <w:sz w:val="20"/>
                <w:szCs w:val="20"/>
                <w:lang w:val="en-US" w:eastAsia="zh-CN"/>
              </w:rPr>
              <w:t>82%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8</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需进一步提高公众对药械化检验检测的认可度</w:t>
            </w:r>
          </w:p>
        </w:tc>
      </w:tr>
      <w:tr>
        <w:tblPrEx>
          <w:tblCellMar>
            <w:top w:w="0" w:type="dxa"/>
            <w:left w:w="108" w:type="dxa"/>
            <w:bottom w:w="0" w:type="dxa"/>
            <w:right w:w="108" w:type="dxa"/>
          </w:tblCellMar>
        </w:tblPrEx>
        <w:trPr>
          <w:trHeight w:val="417" w:hRule="atLeast"/>
          <w:jc w:val="center"/>
        </w:trPr>
        <w:tc>
          <w:tcPr>
            <w:tcW w:w="704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100</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98</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bl>
    <w:p>
      <w:pPr>
        <w:rPr>
          <w:rFonts w:hint="eastAsia" w:ascii="仿宋" w:hAnsi="仿宋" w:eastAsia="仿宋" w:cs="仿宋"/>
          <w:sz w:val="22"/>
          <w:szCs w:val="22"/>
        </w:rPr>
      </w:pPr>
    </w:p>
    <w:p>
      <w:pPr>
        <w:rPr>
          <w:rFonts w:hint="eastAsia" w:ascii="仿宋" w:hAnsi="仿宋" w:eastAsia="仿宋" w:cs="仿宋"/>
        </w:rPr>
      </w:pPr>
      <w:r>
        <w:rPr>
          <w:rFonts w:hint="eastAsia" w:ascii="仿宋" w:hAnsi="仿宋" w:eastAsia="仿宋" w:cs="仿宋"/>
          <w:sz w:val="22"/>
          <w:szCs w:val="22"/>
        </w:rPr>
        <w:t>填表人：</w:t>
      </w:r>
      <w:r>
        <w:rPr>
          <w:rFonts w:hint="eastAsia" w:ascii="仿宋" w:hAnsi="仿宋" w:eastAsia="仿宋" w:cs="仿宋"/>
          <w:sz w:val="22"/>
          <w:szCs w:val="22"/>
          <w:lang w:eastAsia="zh-CN"/>
        </w:rPr>
        <w:t>冯霞</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填报日期：</w:t>
      </w:r>
      <w:r>
        <w:rPr>
          <w:rFonts w:hint="eastAsia" w:ascii="仿宋" w:hAnsi="仿宋" w:eastAsia="仿宋" w:cs="仿宋"/>
          <w:sz w:val="22"/>
          <w:szCs w:val="22"/>
          <w:lang w:val="en-US" w:eastAsia="zh-CN"/>
        </w:rPr>
        <w:t>2022.6.16</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联系电话：</w:t>
      </w:r>
      <w:r>
        <w:rPr>
          <w:rFonts w:hint="eastAsia" w:ascii="仿宋" w:hAnsi="仿宋" w:eastAsia="仿宋" w:cs="仿宋"/>
          <w:sz w:val="22"/>
          <w:szCs w:val="22"/>
          <w:lang w:val="en-US" w:eastAsia="zh-CN"/>
        </w:rPr>
        <w:t>18973620988</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spacing w:line="560" w:lineRule="exact"/>
        <w:rPr>
          <w:rFonts w:hint="eastAsia" w:ascii="仿宋" w:hAnsi="仿宋" w:eastAsia="仿宋" w:cs="仿宋"/>
          <w:sz w:val="22"/>
          <w:lang w:val="en-US" w:eastAsia="zh-CN"/>
        </w:rPr>
      </w:pPr>
    </w:p>
    <w:p>
      <w:pPr>
        <w:widowControl/>
        <w:spacing w:line="600" w:lineRule="exact"/>
        <w:jc w:val="lef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附件</w:t>
      </w:r>
      <w:r>
        <w:rPr>
          <w:rFonts w:hint="eastAsia" w:eastAsia="黑体" w:cs="Times New Roman"/>
          <w:sz w:val="24"/>
          <w:szCs w:val="24"/>
          <w:lang w:val="en-US" w:eastAsia="zh-CN"/>
        </w:rPr>
        <w:t>３－１</w:t>
      </w:r>
    </w:p>
    <w:p>
      <w:pPr>
        <w:widowControl/>
        <w:spacing w:line="600" w:lineRule="exact"/>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2021年度项目支出绩效自评表</w:t>
      </w:r>
    </w:p>
    <w:tbl>
      <w:tblPr>
        <w:tblStyle w:val="6"/>
        <w:tblW w:w="10076" w:type="dxa"/>
        <w:jc w:val="center"/>
        <w:tblLayout w:type="fixed"/>
        <w:tblCellMar>
          <w:top w:w="0" w:type="dxa"/>
          <w:left w:w="108" w:type="dxa"/>
          <w:bottom w:w="0" w:type="dxa"/>
          <w:right w:w="108" w:type="dxa"/>
        </w:tblCellMar>
      </w:tblPr>
      <w:tblGrid>
        <w:gridCol w:w="1032"/>
        <w:gridCol w:w="1025"/>
        <w:gridCol w:w="1275"/>
        <w:gridCol w:w="798"/>
        <w:gridCol w:w="352"/>
        <w:gridCol w:w="430"/>
        <w:gridCol w:w="1463"/>
        <w:gridCol w:w="825"/>
        <w:gridCol w:w="4"/>
        <w:gridCol w:w="688"/>
        <w:gridCol w:w="7"/>
        <w:gridCol w:w="693"/>
        <w:gridCol w:w="1484"/>
      </w:tblGrid>
      <w:tr>
        <w:tblPrEx>
          <w:tblCellMar>
            <w:top w:w="0" w:type="dxa"/>
            <w:left w:w="108" w:type="dxa"/>
            <w:bottom w:w="0" w:type="dxa"/>
            <w:right w:w="108" w:type="dxa"/>
          </w:tblCellMar>
        </w:tblPrEx>
        <w:trPr>
          <w:trHeight w:val="443" w:hRule="atLeast"/>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项目名称</w:t>
            </w:r>
          </w:p>
        </w:tc>
        <w:tc>
          <w:tcPr>
            <w:tcW w:w="9044"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1054"/>
                <w:tab w:val="center" w:pos="4437"/>
              </w:tabs>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ab/>
            </w:r>
            <w:r>
              <w:rPr>
                <w:rFonts w:hint="eastAsia" w:eastAsia="仿宋" w:cs="Times New Roman"/>
                <w:color w:val="000000"/>
                <w:sz w:val="20"/>
                <w:szCs w:val="20"/>
                <w:lang w:eastAsia="zh-CN"/>
              </w:rPr>
              <w:t>药品检验专项经费</w:t>
            </w: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50" w:hRule="atLeast"/>
          <w:jc w:val="center"/>
        </w:trPr>
        <w:tc>
          <w:tcPr>
            <w:tcW w:w="103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主管</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部门</w:t>
            </w:r>
          </w:p>
        </w:tc>
        <w:tc>
          <w:tcPr>
            <w:tcW w:w="534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常德市市场监督管理局</w:t>
            </w:r>
          </w:p>
        </w:tc>
        <w:tc>
          <w:tcPr>
            <w:tcW w:w="82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实施</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单位</w:t>
            </w:r>
          </w:p>
        </w:tc>
        <w:tc>
          <w:tcPr>
            <w:tcW w:w="287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lang w:eastAsia="zh-CN"/>
              </w:rPr>
            </w:pPr>
            <w:r>
              <w:rPr>
                <w:rFonts w:hint="eastAsia" w:ascii="黑体" w:hAnsi="黑体" w:eastAsia="黑体" w:cs="黑体"/>
                <w:color w:val="000000"/>
                <w:sz w:val="20"/>
                <w:szCs w:val="20"/>
              </w:rPr>
              <w:t>　</w:t>
            </w:r>
            <w:r>
              <w:rPr>
                <w:rFonts w:hint="eastAsia" w:ascii="黑体" w:hAnsi="黑体" w:eastAsia="黑体" w:cs="黑体"/>
                <w:color w:val="000000"/>
                <w:sz w:val="20"/>
                <w:szCs w:val="20"/>
                <w:lang w:eastAsia="zh-CN"/>
              </w:rPr>
              <w:t>常德市食品药品检验所</w:t>
            </w:r>
          </w:p>
        </w:tc>
      </w:tr>
      <w:tr>
        <w:tblPrEx>
          <w:tblCellMar>
            <w:top w:w="0" w:type="dxa"/>
            <w:left w:w="108" w:type="dxa"/>
            <w:bottom w:w="0" w:type="dxa"/>
            <w:right w:w="108" w:type="dxa"/>
          </w:tblCellMar>
        </w:tblPrEx>
        <w:trPr>
          <w:trHeight w:val="340" w:hRule="atLeast"/>
          <w:jc w:val="center"/>
        </w:trPr>
        <w:tc>
          <w:tcPr>
            <w:tcW w:w="103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项目资金</w:t>
            </w:r>
            <w:r>
              <w:rPr>
                <w:rFonts w:hint="eastAsia" w:ascii="黑体" w:hAnsi="黑体" w:eastAsia="黑体" w:cs="黑体"/>
                <w:color w:val="000000"/>
                <w:sz w:val="20"/>
                <w:szCs w:val="20"/>
              </w:rPr>
              <w:br w:type="textWrapping"/>
            </w:r>
            <w:r>
              <w:rPr>
                <w:rFonts w:hint="eastAsia" w:ascii="黑体" w:hAnsi="黑体" w:eastAsia="黑体" w:cs="黑体"/>
                <w:color w:val="000000"/>
                <w:sz w:val="20"/>
                <w:szCs w:val="20"/>
              </w:rPr>
              <w:t>（万元）</w:t>
            </w:r>
          </w:p>
        </w:tc>
        <w:tc>
          <w:tcPr>
            <w:tcW w:w="23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上年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结转</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14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执行数</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tblPrEx>
          <w:tblCellMar>
            <w:top w:w="0" w:type="dxa"/>
            <w:left w:w="108" w:type="dxa"/>
            <w:bottom w:w="0" w:type="dxa"/>
            <w:right w:w="108" w:type="dxa"/>
          </w:tblCellMar>
        </w:tblPrEx>
        <w:trPr>
          <w:trHeight w:val="463" w:hRule="atLeast"/>
          <w:jc w:val="center"/>
        </w:trPr>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3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年度资金总额　</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21.89</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128.74</w:t>
            </w:r>
          </w:p>
        </w:tc>
        <w:tc>
          <w:tcPr>
            <w:tcW w:w="14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150.63</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150.63</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w:t>
            </w:r>
          </w:p>
        </w:tc>
      </w:tr>
      <w:tr>
        <w:tblPrEx>
          <w:tblCellMar>
            <w:top w:w="0" w:type="dxa"/>
            <w:left w:w="108" w:type="dxa"/>
            <w:bottom w:w="0" w:type="dxa"/>
            <w:right w:w="108" w:type="dxa"/>
          </w:tblCellMar>
        </w:tblPrEx>
        <w:trPr>
          <w:trHeight w:val="340" w:hRule="atLeast"/>
          <w:jc w:val="center"/>
        </w:trPr>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3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其中：当年财政拨款　</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4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340" w:hRule="atLeast"/>
          <w:jc w:val="center"/>
        </w:trPr>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3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4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340" w:hRule="atLeast"/>
          <w:jc w:val="center"/>
        </w:trPr>
        <w:tc>
          <w:tcPr>
            <w:tcW w:w="103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年度总体目标</w:t>
            </w:r>
          </w:p>
        </w:tc>
        <w:tc>
          <w:tcPr>
            <w:tcW w:w="5343"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370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　</w:t>
            </w:r>
          </w:p>
        </w:tc>
      </w:tr>
      <w:tr>
        <w:tblPrEx>
          <w:tblCellMar>
            <w:top w:w="0" w:type="dxa"/>
            <w:left w:w="108" w:type="dxa"/>
            <w:bottom w:w="0" w:type="dxa"/>
            <w:right w:w="108" w:type="dxa"/>
          </w:tblCellMar>
        </w:tblPrEx>
        <w:trPr>
          <w:trHeight w:val="901" w:hRule="atLeast"/>
          <w:jc w:val="center"/>
        </w:trPr>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5343"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1.药品检测准确率达到100%。2.成本控制在预算范围内。3.群众对本单位的工作质量满意度到80%以上</w:t>
            </w:r>
          </w:p>
        </w:tc>
        <w:tc>
          <w:tcPr>
            <w:tcW w:w="370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1.药品检测准确率达到100%。2.成本控制在预算范围内。3.群众对本单位的工作质量满意度到90%以上</w:t>
            </w:r>
          </w:p>
        </w:tc>
      </w:tr>
      <w:tr>
        <w:tblPrEx>
          <w:tblCellMar>
            <w:top w:w="0" w:type="dxa"/>
            <w:left w:w="108" w:type="dxa"/>
            <w:bottom w:w="0" w:type="dxa"/>
            <w:right w:w="108" w:type="dxa"/>
          </w:tblCellMar>
        </w:tblPrEx>
        <w:trPr>
          <w:trHeight w:val="708" w:hRule="atLeast"/>
          <w:jc w:val="center"/>
        </w:trPr>
        <w:tc>
          <w:tcPr>
            <w:tcW w:w="103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标</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8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指标值</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完成值</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tblPrEx>
          <w:tblCellMar>
            <w:top w:w="0" w:type="dxa"/>
            <w:left w:w="108" w:type="dxa"/>
            <w:bottom w:w="0" w:type="dxa"/>
            <w:right w:w="108" w:type="dxa"/>
          </w:tblCellMar>
        </w:tblPrEx>
        <w:trPr>
          <w:trHeight w:val="885" w:hRule="atLeas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p>
        </w:tc>
        <w:tc>
          <w:tcPr>
            <w:tcW w:w="102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w:t>
            </w:r>
            <w:r>
              <w:rPr>
                <w:rFonts w:hint="eastAsia" w:eastAsia="仿宋" w:cs="Times New Roman"/>
                <w:color w:val="000000"/>
                <w:sz w:val="20"/>
                <w:szCs w:val="20"/>
                <w:lang w:val="en-US" w:eastAsia="zh-CN"/>
              </w:rPr>
              <w:t>50分</w:t>
            </w:r>
            <w:r>
              <w:rPr>
                <w:rFonts w:hint="eastAsia" w:eastAsia="仿宋" w:cs="Times New Roman"/>
                <w:color w:val="000000"/>
                <w:sz w:val="20"/>
                <w:szCs w:val="20"/>
                <w:lang w:eastAsia="zh-CN"/>
              </w:rPr>
              <w:t>）</w:t>
            </w:r>
          </w:p>
        </w:tc>
        <w:tc>
          <w:tcPr>
            <w:tcW w:w="12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药品检验</w:t>
            </w:r>
          </w:p>
        </w:tc>
        <w:tc>
          <w:tcPr>
            <w:tcW w:w="18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120批</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95批</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8</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检品没有抽到</w:t>
            </w:r>
            <w:r>
              <w:rPr>
                <w:rFonts w:hint="eastAsia" w:eastAsia="仿宋" w:cs="Times New Roman"/>
                <w:color w:val="000000"/>
                <w:sz w:val="20"/>
                <w:szCs w:val="20"/>
                <w:lang w:val="en-US" w:eastAsia="zh-CN"/>
              </w:rPr>
              <w:t>40批次是案件检品</w:t>
            </w:r>
          </w:p>
        </w:tc>
      </w:tr>
      <w:tr>
        <w:tblPrEx>
          <w:tblCellMar>
            <w:top w:w="0" w:type="dxa"/>
            <w:left w:w="108" w:type="dxa"/>
            <w:bottom w:w="0" w:type="dxa"/>
            <w:right w:w="108" w:type="dxa"/>
          </w:tblCellMar>
        </w:tblPrEx>
        <w:trPr>
          <w:trHeight w:val="647" w:hRule="atLeas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p>
        </w:tc>
        <w:tc>
          <w:tcPr>
            <w:tcW w:w="10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2"/>
                <w:sz w:val="20"/>
                <w:szCs w:val="20"/>
                <w:lang w:val="en-US"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三废处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理升数</w:t>
            </w:r>
          </w:p>
        </w:tc>
        <w:tc>
          <w:tcPr>
            <w:tcW w:w="18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药品抽中废气、废水、废渣350升</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350升</w:t>
            </w:r>
          </w:p>
        </w:tc>
        <w:tc>
          <w:tcPr>
            <w:tcW w:w="6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603"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val="en-US" w:eastAsia="zh-CN"/>
              </w:rPr>
            </w:pPr>
            <w:r>
              <w:rPr>
                <w:rFonts w:hint="eastAsia" w:eastAsia="仿宋" w:cs="Times New Roman"/>
                <w:color w:val="000000"/>
                <w:sz w:val="20"/>
                <w:szCs w:val="20"/>
                <w:lang w:val="en-US" w:eastAsia="zh-CN"/>
              </w:rPr>
              <w:t>药品安全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性检测率</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default"/>
              </w:rPr>
              <w:t>　</w:t>
            </w:r>
            <w:r>
              <w:rPr>
                <w:rFonts w:hint="eastAsia"/>
                <w:sz w:val="21"/>
                <w:szCs w:val="21"/>
                <w:lang w:val="en-US" w:eastAsia="zh-CN"/>
              </w:rPr>
              <w:t>100%</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35"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检验周期</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规定的周期内（</w:t>
            </w:r>
            <w:r>
              <w:rPr>
                <w:rFonts w:hint="eastAsia" w:eastAsia="仿宋" w:cs="Times New Roman"/>
                <w:color w:val="000000"/>
                <w:sz w:val="20"/>
                <w:szCs w:val="20"/>
                <w:lang w:val="en-US" w:eastAsia="zh-CN"/>
              </w:rPr>
              <w:t>12底完成</w:t>
            </w:r>
            <w:r>
              <w:rPr>
                <w:rFonts w:hint="eastAsia" w:eastAsia="仿宋" w:cs="Times New Roman"/>
                <w:color w:val="000000"/>
                <w:sz w:val="20"/>
                <w:szCs w:val="20"/>
                <w:lang w:eastAsia="zh-CN"/>
              </w:rPr>
              <w:t>）</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在周期内</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43"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药品检验</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专项经费</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150.63万元</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150.63万元</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17"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益指标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628"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益指标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eastAsia="仿宋" w:cs="Times New Roman"/>
                <w:color w:val="000000"/>
                <w:sz w:val="20"/>
                <w:szCs w:val="20"/>
                <w:lang w:val="en-US" w:eastAsia="zh-CN"/>
              </w:rPr>
            </w:pPr>
            <w:r>
              <w:rPr>
                <w:rFonts w:hint="eastAsia" w:eastAsia="仿宋" w:cs="Times New Roman"/>
                <w:color w:val="000000"/>
                <w:sz w:val="20"/>
                <w:szCs w:val="20"/>
                <w:lang w:val="en-US" w:eastAsia="zh-CN"/>
              </w:rPr>
              <w:t>药品安</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全情况</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不发生影响恶劣的药品安全事故</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0起</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567"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益指标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生态环境</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生态环保</w:t>
            </w:r>
            <w:r>
              <w:rPr>
                <w:rFonts w:hint="eastAsia" w:eastAsia="仿宋" w:cs="Times New Roman"/>
                <w:color w:val="000000"/>
                <w:sz w:val="20"/>
                <w:szCs w:val="20"/>
                <w:lang w:val="en-US" w:eastAsia="zh-CN"/>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exac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可持续影</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响指标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可持续</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影响率</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辖区内用药安全率</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22" w:hRule="atLeast"/>
          <w:jc w:val="center"/>
        </w:trPr>
        <w:tc>
          <w:tcPr>
            <w:tcW w:w="103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服务对象满意度指标</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公众或服务对象满意度</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社会公众或服务对象满意度达</w:t>
            </w:r>
            <w:r>
              <w:rPr>
                <w:rFonts w:hint="eastAsia" w:eastAsia="仿宋" w:cs="Times New Roman"/>
                <w:color w:val="000000"/>
                <w:sz w:val="20"/>
                <w:szCs w:val="20"/>
                <w:lang w:val="en-US" w:eastAsia="zh-CN"/>
              </w:rPr>
              <w:t>80%以上</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90%以上</w:t>
            </w:r>
          </w:p>
        </w:tc>
        <w:tc>
          <w:tcPr>
            <w:tcW w:w="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10</w:t>
            </w: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10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12月进行了群众满意调查</w:t>
            </w:r>
          </w:p>
        </w:tc>
      </w:tr>
      <w:tr>
        <w:tblPrEx>
          <w:tblCellMar>
            <w:top w:w="0" w:type="dxa"/>
            <w:left w:w="108" w:type="dxa"/>
            <w:bottom w:w="0" w:type="dxa"/>
            <w:right w:w="108" w:type="dxa"/>
          </w:tblCellMar>
        </w:tblPrEx>
        <w:trPr>
          <w:trHeight w:val="1062" w:hRule="atLeast"/>
          <w:jc w:val="center"/>
        </w:trPr>
        <w:tc>
          <w:tcPr>
            <w:tcW w:w="720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3600" w:firstLineChars="1800"/>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eastAsia="zh-CN"/>
              </w:rPr>
              <w:t>总分</w:t>
            </w:r>
          </w:p>
        </w:tc>
        <w:tc>
          <w:tcPr>
            <w:tcW w:w="695"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6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98</w:t>
            </w:r>
          </w:p>
        </w:tc>
        <w:tc>
          <w:tcPr>
            <w:tcW w:w="1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bl>
    <w:p>
      <w:pPr>
        <w:rPr>
          <w:rFonts w:hint="default" w:ascii="Times New Roman" w:hAnsi="Times New Roman" w:eastAsia="仿宋" w:cs="Times New Roman"/>
          <w:szCs w:val="21"/>
        </w:rPr>
      </w:pPr>
      <w:r>
        <w:rPr>
          <w:rFonts w:hint="default" w:ascii="Times New Roman" w:hAnsi="Times New Roman" w:eastAsia="仿宋" w:cs="Times New Roman"/>
          <w:sz w:val="20"/>
          <w:szCs w:val="20"/>
        </w:rPr>
        <w:t>备注：一个项目支出一张表。</w:t>
      </w:r>
    </w:p>
    <w:p>
      <w:pPr>
        <w:rPr>
          <w:rFonts w:hint="default" w:ascii="Times New Roman" w:hAnsi="Times New Roman" w:eastAsia="仿宋" w:cs="Times New Roman"/>
          <w:sz w:val="22"/>
          <w:szCs w:val="22"/>
        </w:rPr>
      </w:pPr>
    </w:p>
    <w:p>
      <w:pPr>
        <w:spacing w:line="560" w:lineRule="exact"/>
        <w:ind w:firstLine="440" w:firstLineChars="200"/>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填表人：</w:t>
      </w:r>
      <w:r>
        <w:rPr>
          <w:rFonts w:hint="eastAsia" w:eastAsia="仿宋" w:cs="Times New Roman"/>
          <w:b w:val="0"/>
          <w:bCs w:val="0"/>
          <w:sz w:val="22"/>
          <w:szCs w:val="22"/>
          <w:lang w:eastAsia="zh-CN"/>
        </w:rPr>
        <w:t>艾平</w:t>
      </w:r>
      <w:r>
        <w:rPr>
          <w:rFonts w:hint="default" w:ascii="Times New Roman" w:hAnsi="Times New Roman" w:eastAsia="仿宋" w:cs="Times New Roman"/>
          <w:b w:val="0"/>
          <w:bCs w:val="0"/>
          <w:sz w:val="22"/>
          <w:szCs w:val="22"/>
        </w:rPr>
        <w:t xml:space="preserve">   </w:t>
      </w:r>
      <w:r>
        <w:rPr>
          <w:rFonts w:hint="eastAsia" w:ascii="Times New Roman" w:hAnsi="Times New Roman" w:eastAsia="仿宋" w:cs="Times New Roman"/>
          <w:b w:val="0"/>
          <w:bCs w:val="0"/>
          <w:sz w:val="22"/>
          <w:szCs w:val="22"/>
          <w:lang w:val="en-US" w:eastAsia="zh-CN"/>
        </w:rPr>
        <w:t xml:space="preserve">   </w:t>
      </w:r>
      <w:r>
        <w:rPr>
          <w:rFonts w:hint="default" w:ascii="Times New Roman" w:hAnsi="Times New Roman" w:eastAsia="仿宋" w:cs="Times New Roman"/>
          <w:b w:val="0"/>
          <w:bCs w:val="0"/>
          <w:sz w:val="22"/>
          <w:szCs w:val="22"/>
        </w:rPr>
        <w:t>填报日期：</w:t>
      </w:r>
      <w:r>
        <w:rPr>
          <w:rFonts w:hint="eastAsia" w:eastAsia="仿宋" w:cs="Times New Roman"/>
          <w:b w:val="0"/>
          <w:bCs w:val="0"/>
          <w:sz w:val="22"/>
          <w:szCs w:val="22"/>
          <w:lang w:val="en-US" w:eastAsia="zh-CN"/>
        </w:rPr>
        <w:t>2022.6.16</w:t>
      </w:r>
      <w:r>
        <w:rPr>
          <w:rFonts w:hint="default" w:ascii="Times New Roman" w:hAnsi="Times New Roman" w:eastAsia="仿宋" w:cs="Times New Roman"/>
          <w:b w:val="0"/>
          <w:bCs w:val="0"/>
          <w:sz w:val="22"/>
          <w:szCs w:val="22"/>
        </w:rPr>
        <w:t xml:space="preserve">  </w:t>
      </w:r>
      <w:r>
        <w:rPr>
          <w:rFonts w:hint="eastAsia" w:ascii="Times New Roman" w:hAnsi="Times New Roman" w:eastAsia="仿宋" w:cs="Times New Roman"/>
          <w:b w:val="0"/>
          <w:bCs w:val="0"/>
          <w:sz w:val="22"/>
          <w:szCs w:val="22"/>
          <w:lang w:val="en-US" w:eastAsia="zh-CN"/>
        </w:rPr>
        <w:t xml:space="preserve">   </w:t>
      </w:r>
      <w:r>
        <w:rPr>
          <w:rFonts w:hint="default" w:ascii="Times New Roman" w:hAnsi="Times New Roman" w:eastAsia="仿宋" w:cs="Times New Roman"/>
          <w:b w:val="0"/>
          <w:bCs w:val="0"/>
          <w:sz w:val="22"/>
          <w:szCs w:val="22"/>
        </w:rPr>
        <w:t>联系电话：</w:t>
      </w:r>
      <w:r>
        <w:rPr>
          <w:rFonts w:hint="eastAsia" w:eastAsia="仿宋" w:cs="Times New Roman"/>
          <w:b w:val="0"/>
          <w:bCs w:val="0"/>
          <w:sz w:val="22"/>
          <w:szCs w:val="22"/>
          <w:lang w:val="en-US" w:eastAsia="zh-CN"/>
        </w:rPr>
        <w:t>18797777700</w:t>
      </w:r>
      <w:r>
        <w:rPr>
          <w:rFonts w:hint="default" w:ascii="Times New Roman" w:hAnsi="Times New Roman" w:eastAsia="仿宋" w:cs="Times New Roman"/>
          <w:b w:val="0"/>
          <w:bCs w:val="0"/>
          <w:sz w:val="22"/>
          <w:szCs w:val="22"/>
        </w:rPr>
        <w:t xml:space="preserve"> </w:t>
      </w:r>
      <w:r>
        <w:rPr>
          <w:rFonts w:hint="eastAsia" w:eastAsia="仿宋" w:cs="Times New Roman"/>
          <w:b w:val="0"/>
          <w:bCs w:val="0"/>
          <w:sz w:val="22"/>
          <w:szCs w:val="22"/>
          <w:lang w:val="en-US" w:eastAsia="zh-CN"/>
        </w:rPr>
        <w:t xml:space="preserve">     </w:t>
      </w:r>
      <w:r>
        <w:rPr>
          <w:rFonts w:hint="default" w:ascii="Times New Roman" w:hAnsi="Times New Roman" w:eastAsia="仿宋" w:cs="Times New Roman"/>
          <w:b w:val="0"/>
          <w:bCs w:val="0"/>
          <w:sz w:val="22"/>
          <w:szCs w:val="22"/>
        </w:rPr>
        <w:t xml:space="preserve">   </w:t>
      </w: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spacing w:line="560" w:lineRule="exact"/>
        <w:ind w:firstLine="440" w:firstLineChars="200"/>
        <w:rPr>
          <w:rFonts w:hint="default" w:ascii="Times New Roman" w:hAnsi="Times New Roman" w:eastAsia="仿宋" w:cs="Times New Roman"/>
          <w:b w:val="0"/>
          <w:bCs w:val="0"/>
          <w:sz w:val="22"/>
          <w:szCs w:val="22"/>
        </w:rPr>
      </w:pPr>
    </w:p>
    <w:p>
      <w:pPr>
        <w:widowControl/>
        <w:spacing w:line="600" w:lineRule="exact"/>
        <w:jc w:val="lef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附件</w:t>
      </w:r>
      <w:r>
        <w:rPr>
          <w:rFonts w:hint="eastAsia" w:ascii="Times New Roman" w:hAnsi="Times New Roman" w:eastAsia="黑体" w:cs="Times New Roman"/>
          <w:sz w:val="24"/>
          <w:szCs w:val="24"/>
          <w:lang w:eastAsia="zh-CN"/>
        </w:rPr>
        <w:t>３－２</w:t>
      </w:r>
      <w:bookmarkStart w:id="1" w:name="_GoBack"/>
      <w:bookmarkEnd w:id="1"/>
    </w:p>
    <w:p>
      <w:pPr>
        <w:widowControl/>
        <w:spacing w:line="600" w:lineRule="exact"/>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2021年度项目支出绩效自评表</w:t>
      </w:r>
    </w:p>
    <w:tbl>
      <w:tblPr>
        <w:tblStyle w:val="6"/>
        <w:tblW w:w="10101" w:type="dxa"/>
        <w:jc w:val="center"/>
        <w:tblLayout w:type="fixed"/>
        <w:tblCellMar>
          <w:top w:w="0" w:type="dxa"/>
          <w:left w:w="108" w:type="dxa"/>
          <w:bottom w:w="0" w:type="dxa"/>
          <w:right w:w="108" w:type="dxa"/>
        </w:tblCellMar>
      </w:tblPr>
      <w:tblGrid>
        <w:gridCol w:w="1074"/>
        <w:gridCol w:w="1049"/>
        <w:gridCol w:w="1099"/>
        <w:gridCol w:w="823"/>
        <w:gridCol w:w="453"/>
        <w:gridCol w:w="329"/>
        <w:gridCol w:w="1199"/>
        <w:gridCol w:w="1104"/>
        <w:gridCol w:w="614"/>
        <w:gridCol w:w="734"/>
        <w:gridCol w:w="1623"/>
      </w:tblGrid>
      <w:tr>
        <w:tblPrEx>
          <w:tblCellMar>
            <w:top w:w="0" w:type="dxa"/>
            <w:left w:w="108" w:type="dxa"/>
            <w:bottom w:w="0" w:type="dxa"/>
            <w:right w:w="108" w:type="dxa"/>
          </w:tblCellMar>
        </w:tblPrEx>
        <w:trPr>
          <w:trHeight w:val="340"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项目名称</w:t>
            </w:r>
          </w:p>
        </w:tc>
        <w:tc>
          <w:tcPr>
            <w:tcW w:w="902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1054"/>
                <w:tab w:val="center" w:pos="4437"/>
              </w:tabs>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药品检验业务费</w:t>
            </w:r>
          </w:p>
        </w:tc>
      </w:tr>
      <w:tr>
        <w:tblPrEx>
          <w:tblCellMar>
            <w:top w:w="0" w:type="dxa"/>
            <w:left w:w="108" w:type="dxa"/>
            <w:bottom w:w="0" w:type="dxa"/>
            <w:right w:w="108" w:type="dxa"/>
          </w:tblCellMar>
        </w:tblPrEx>
        <w:trPr>
          <w:trHeight w:val="340" w:hRule="atLeast"/>
          <w:jc w:val="center"/>
        </w:trPr>
        <w:tc>
          <w:tcPr>
            <w:tcW w:w="10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主管部门</w:t>
            </w:r>
          </w:p>
        </w:tc>
        <w:tc>
          <w:tcPr>
            <w:tcW w:w="495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常德市市场监督管理局</w:t>
            </w:r>
          </w:p>
        </w:tc>
        <w:tc>
          <w:tcPr>
            <w:tcW w:w="110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实施单位</w:t>
            </w:r>
          </w:p>
        </w:tc>
        <w:tc>
          <w:tcPr>
            <w:tcW w:w="29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lang w:eastAsia="zh-CN"/>
              </w:rPr>
            </w:pPr>
            <w:r>
              <w:rPr>
                <w:rFonts w:hint="eastAsia" w:ascii="黑体" w:hAnsi="黑体" w:eastAsia="黑体" w:cs="黑体"/>
                <w:color w:val="000000"/>
                <w:sz w:val="20"/>
                <w:szCs w:val="20"/>
              </w:rPr>
              <w:t>　</w:t>
            </w:r>
            <w:r>
              <w:rPr>
                <w:rFonts w:hint="eastAsia" w:ascii="仿宋" w:hAnsi="仿宋" w:eastAsia="仿宋" w:cs="仿宋"/>
                <w:color w:val="000000"/>
                <w:sz w:val="20"/>
                <w:szCs w:val="20"/>
                <w:lang w:eastAsia="zh-CN"/>
              </w:rPr>
              <w:t>常德市食品药品检验所</w:t>
            </w:r>
          </w:p>
        </w:tc>
      </w:tr>
      <w:tr>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项目资金</w:t>
            </w:r>
            <w:r>
              <w:rPr>
                <w:rFonts w:hint="eastAsia" w:ascii="黑体" w:hAnsi="黑体" w:eastAsia="黑体" w:cs="黑体"/>
                <w:color w:val="000000"/>
                <w:sz w:val="20"/>
                <w:szCs w:val="20"/>
              </w:rPr>
              <w:br w:type="textWrapping"/>
            </w:r>
            <w:r>
              <w:rPr>
                <w:rFonts w:hint="eastAsia" w:ascii="黑体" w:hAnsi="黑体" w:eastAsia="黑体" w:cs="黑体"/>
                <w:color w:val="000000"/>
                <w:sz w:val="20"/>
                <w:szCs w:val="20"/>
              </w:rPr>
              <w:t>（万元）</w:t>
            </w: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上年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结转</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执行数</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tblPrEx>
          <w:tblCellMar>
            <w:top w:w="0" w:type="dxa"/>
            <w:left w:w="108" w:type="dxa"/>
            <w:bottom w:w="0" w:type="dxa"/>
            <w:right w:w="108" w:type="dxa"/>
          </w:tblCellMar>
        </w:tblPrEx>
        <w:trPr>
          <w:trHeight w:val="34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年度资金总额　</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15.82</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15.82</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15.82</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100%</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w:t>
            </w:r>
          </w:p>
        </w:tc>
      </w:tr>
      <w:tr>
        <w:tblPrEx>
          <w:tblCellMar>
            <w:top w:w="0" w:type="dxa"/>
            <w:left w:w="108" w:type="dxa"/>
            <w:bottom w:w="0" w:type="dxa"/>
            <w:right w:w="108" w:type="dxa"/>
          </w:tblCellMar>
        </w:tblPrEx>
        <w:trPr>
          <w:trHeight w:val="34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其中：当年财政拨款　</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34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年度总体目标</w:t>
            </w:r>
          </w:p>
        </w:tc>
        <w:tc>
          <w:tcPr>
            <w:tcW w:w="4952"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407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　</w:t>
            </w:r>
          </w:p>
        </w:tc>
      </w:tr>
      <w:tr>
        <w:tblPrEx>
          <w:tblCellMar>
            <w:top w:w="0" w:type="dxa"/>
            <w:left w:w="108" w:type="dxa"/>
            <w:bottom w:w="0" w:type="dxa"/>
            <w:right w:w="108" w:type="dxa"/>
          </w:tblCellMar>
        </w:tblPrEx>
        <w:trPr>
          <w:trHeight w:val="1039"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color w:val="000000"/>
                <w:sz w:val="20"/>
                <w:szCs w:val="20"/>
              </w:rPr>
            </w:pPr>
          </w:p>
        </w:tc>
        <w:tc>
          <w:tcPr>
            <w:tcW w:w="4952"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1.药品检测准确率达到100%。2.成本控制在预算范围内。3.群众对本单位的工作质量满意度到80%以上</w:t>
            </w:r>
          </w:p>
        </w:tc>
        <w:tc>
          <w:tcPr>
            <w:tcW w:w="407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1.药品检测准确率达到100%。2.成本控制在预算范围内。3.群众对本单位的工作质量满意度到90%以上</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r>
              <w:rPr>
                <w:rFonts w:hint="eastAsia" w:ascii="黑体" w:hAnsi="黑体" w:eastAsia="黑体" w:cs="黑体"/>
                <w:color w:val="000000"/>
                <w:sz w:val="20"/>
                <w:szCs w:val="20"/>
              </w:rPr>
              <w:t>标</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0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27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5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指标值</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完成值</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tblPrEx>
          <w:tblCellMar>
            <w:top w:w="0" w:type="dxa"/>
            <w:left w:w="108" w:type="dxa"/>
            <w:bottom w:w="0" w:type="dxa"/>
            <w:right w:w="108" w:type="dxa"/>
          </w:tblCellMar>
        </w:tblPrEx>
        <w:trPr>
          <w:trHeight w:val="924" w:hRule="atLeas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p>
        </w:tc>
        <w:tc>
          <w:tcPr>
            <w:tcW w:w="104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rPr>
              <w:t>50分</w:t>
            </w:r>
            <w:r>
              <w:rPr>
                <w:rFonts w:hint="default" w:ascii="Times New Roman" w:hAnsi="Times New Roman" w:eastAsia="仿宋" w:cs="Times New Roman"/>
                <w:color w:val="000000"/>
                <w:sz w:val="20"/>
                <w:szCs w:val="20"/>
                <w:lang w:eastAsia="zh-CN"/>
              </w:rPr>
              <w:t>）</w:t>
            </w:r>
          </w:p>
        </w:tc>
        <w:tc>
          <w:tcPr>
            <w:tcW w:w="109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27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药品检验批次</w:t>
            </w:r>
          </w:p>
        </w:tc>
        <w:tc>
          <w:tcPr>
            <w:tcW w:w="15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120批</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95批</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8</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检品没有抽到</w:t>
            </w:r>
            <w:r>
              <w:rPr>
                <w:rFonts w:hint="eastAsia" w:eastAsia="仿宋" w:cs="Times New Roman"/>
                <w:color w:val="000000"/>
                <w:sz w:val="20"/>
                <w:szCs w:val="20"/>
                <w:lang w:val="en-US" w:eastAsia="zh-CN"/>
              </w:rPr>
              <w:t>40批次是案件检品</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0"/>
                <w:szCs w:val="20"/>
              </w:rPr>
            </w:pPr>
          </w:p>
        </w:tc>
        <w:tc>
          <w:tcPr>
            <w:tcW w:w="1049"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2"/>
                <w:sz w:val="20"/>
                <w:szCs w:val="20"/>
                <w:lang w:val="en-US" w:eastAsia="zh-CN" w:bidi="ar-SA"/>
              </w:rPr>
            </w:pPr>
          </w:p>
        </w:tc>
        <w:tc>
          <w:tcPr>
            <w:tcW w:w="109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27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三废处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理升数</w:t>
            </w:r>
          </w:p>
        </w:tc>
        <w:tc>
          <w:tcPr>
            <w:tcW w:w="15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药品抽中废气、废水、废渣350升</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350升</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704"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val="en-US" w:eastAsia="zh-CN"/>
              </w:rPr>
            </w:pPr>
            <w:r>
              <w:rPr>
                <w:rFonts w:hint="eastAsia" w:eastAsia="仿宋" w:cs="Times New Roman"/>
                <w:color w:val="000000"/>
                <w:sz w:val="20"/>
                <w:szCs w:val="20"/>
                <w:lang w:val="en-US" w:eastAsia="zh-CN"/>
              </w:rPr>
              <w:t>检品检验</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质量规范</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58"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工作完成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及时率</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在周期内</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药品检验</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业务费</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15.82万元</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15.82万元</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10</w:t>
            </w:r>
            <w:r>
              <w:rPr>
                <w:rFonts w:hint="default" w:ascii="Times New Roman" w:hAnsi="Times New Roman" w:eastAsia="仿宋" w:cs="Times New Roman"/>
                <w:color w:val="000000"/>
                <w:sz w:val="20"/>
                <w:szCs w:val="20"/>
              </w:rPr>
              <w:t>　</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636"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1005"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药品安全情况</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不发生影响恶劣的药品安全事故</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0起</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r>
      <w:tr>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生态环境</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eastAsia="zh-CN"/>
              </w:rPr>
              <w:t>生态环保</w:t>
            </w:r>
            <w:r>
              <w:rPr>
                <w:rFonts w:hint="eastAsia" w:eastAsia="仿宋" w:cs="Times New Roman"/>
                <w:color w:val="000000"/>
                <w:sz w:val="20"/>
                <w:szCs w:val="20"/>
                <w:lang w:val="en-US" w:eastAsia="zh-CN"/>
              </w:rPr>
              <w:t>100%</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tblPrEx>
          <w:tblCellMar>
            <w:top w:w="0" w:type="dxa"/>
            <w:left w:w="108" w:type="dxa"/>
            <w:bottom w:w="0" w:type="dxa"/>
            <w:right w:w="108" w:type="dxa"/>
          </w:tblCellMar>
        </w:tblPrEx>
        <w:trPr>
          <w:trHeight w:val="799" w:hRule="exac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可持续影响指标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可持续</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影响率</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辖区内用</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eastAsia="zh-CN"/>
              </w:rPr>
            </w:pPr>
            <w:r>
              <w:rPr>
                <w:rFonts w:hint="eastAsia" w:eastAsia="仿宋" w:cs="Times New Roman"/>
                <w:color w:val="000000"/>
                <w:sz w:val="20"/>
                <w:szCs w:val="20"/>
                <w:lang w:eastAsia="zh-CN"/>
              </w:rPr>
              <w:t>药安全率</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12月进行了群众满意调查</w:t>
            </w:r>
          </w:p>
        </w:tc>
      </w:tr>
      <w:tr>
        <w:tblPrEx>
          <w:tblCellMar>
            <w:top w:w="0" w:type="dxa"/>
            <w:left w:w="108" w:type="dxa"/>
            <w:bottom w:w="0" w:type="dxa"/>
            <w:right w:w="108" w:type="dxa"/>
          </w:tblCellMar>
        </w:tblPrEx>
        <w:trPr>
          <w:trHeight w:val="1161" w:hRule="exact"/>
          <w:jc w:val="center"/>
        </w:trPr>
        <w:tc>
          <w:tcPr>
            <w:tcW w:w="107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4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服务对象满意度指标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 w:cs="Times New Roman"/>
                <w:color w:val="000000"/>
                <w:sz w:val="20"/>
                <w:szCs w:val="20"/>
                <w:lang w:eastAsia="zh-CN"/>
              </w:rPr>
            </w:pPr>
            <w:r>
              <w:rPr>
                <w:rFonts w:hint="eastAsia" w:eastAsia="仿宋" w:cs="Times New Roman"/>
                <w:color w:val="000000"/>
                <w:sz w:val="20"/>
                <w:szCs w:val="20"/>
                <w:lang w:eastAsia="zh-CN"/>
              </w:rPr>
              <w:t>公众或服务对象满意度</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eastAsia="zh-CN"/>
              </w:rPr>
              <w:t>社会公众或服务对象满意度达</w:t>
            </w:r>
            <w:r>
              <w:rPr>
                <w:rFonts w:hint="eastAsia" w:eastAsia="仿宋" w:cs="Times New Roman"/>
                <w:color w:val="000000"/>
                <w:sz w:val="20"/>
                <w:szCs w:val="20"/>
                <w:lang w:val="en-US" w:eastAsia="zh-CN"/>
              </w:rPr>
              <w:t>80%</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eastAsia="仿宋" w:cs="Times New Roman"/>
                <w:color w:val="000000"/>
                <w:sz w:val="20"/>
                <w:szCs w:val="20"/>
                <w:lang w:val="en-US" w:eastAsia="zh-CN"/>
              </w:rPr>
              <w:t>90%以上</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10</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r>
              <w:rPr>
                <w:rFonts w:hint="eastAsia" w:eastAsia="仿宋" w:cs="Times New Roman"/>
                <w:color w:val="000000"/>
                <w:sz w:val="20"/>
                <w:szCs w:val="20"/>
                <w:lang w:val="en-US" w:eastAsia="zh-CN"/>
              </w:rPr>
              <w:t>12月进行了群众满意调查</w:t>
            </w:r>
          </w:p>
        </w:tc>
      </w:tr>
      <w:tr>
        <w:tblPrEx>
          <w:tblCellMar>
            <w:top w:w="0" w:type="dxa"/>
            <w:left w:w="108" w:type="dxa"/>
            <w:bottom w:w="0" w:type="dxa"/>
            <w:right w:w="108" w:type="dxa"/>
          </w:tblCellMar>
        </w:tblPrEx>
        <w:trPr>
          <w:trHeight w:val="538" w:hRule="atLeast"/>
          <w:jc w:val="center"/>
        </w:trPr>
        <w:tc>
          <w:tcPr>
            <w:tcW w:w="7130" w:type="dxa"/>
            <w:gridSpan w:val="8"/>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总分</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100</w:t>
            </w:r>
          </w:p>
        </w:tc>
        <w:tc>
          <w:tcPr>
            <w:tcW w:w="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eastAsia="仿宋" w:cs="Times New Roman"/>
                <w:color w:val="000000"/>
                <w:sz w:val="20"/>
                <w:szCs w:val="20"/>
                <w:lang w:val="en-US" w:eastAsia="zh-CN"/>
              </w:rPr>
              <w:t>98</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bl>
    <w:p>
      <w:pPr>
        <w:rPr>
          <w:rFonts w:hint="default" w:ascii="Times New Roman" w:hAnsi="Times New Roman" w:eastAsia="仿宋" w:cs="Times New Roman"/>
          <w:szCs w:val="21"/>
        </w:rPr>
      </w:pPr>
      <w:r>
        <w:rPr>
          <w:rFonts w:hint="default" w:ascii="Times New Roman" w:hAnsi="Times New Roman" w:eastAsia="仿宋" w:cs="Times New Roman"/>
          <w:sz w:val="20"/>
          <w:szCs w:val="20"/>
        </w:rPr>
        <w:t>备注：一个项目支出一张表。</w:t>
      </w:r>
    </w:p>
    <w:p>
      <w:pPr>
        <w:rPr>
          <w:rFonts w:hint="default" w:ascii="Times New Roman" w:hAnsi="Times New Roman" w:eastAsia="仿宋" w:cs="Times New Roman"/>
          <w:sz w:val="22"/>
          <w:szCs w:val="22"/>
        </w:rPr>
      </w:pPr>
    </w:p>
    <w:p>
      <w:pPr>
        <w:ind w:firstLine="220" w:firstLineChars="100"/>
        <w:rPr>
          <w:rFonts w:hint="default" w:ascii="Times New Roman" w:hAnsi="Times New Roman" w:eastAsia="仿宋" w:cs="Times New Roman"/>
        </w:rPr>
      </w:pPr>
      <w:r>
        <w:rPr>
          <w:rFonts w:hint="default" w:ascii="Times New Roman" w:hAnsi="Times New Roman" w:eastAsia="仿宋" w:cs="Times New Roman"/>
          <w:sz w:val="22"/>
          <w:szCs w:val="22"/>
        </w:rPr>
        <w:t xml:space="preserve">填表人： </w:t>
      </w:r>
      <w:r>
        <w:rPr>
          <w:rFonts w:hint="eastAsia" w:eastAsia="仿宋" w:cs="Times New Roman"/>
          <w:sz w:val="22"/>
          <w:szCs w:val="22"/>
          <w:lang w:eastAsia="zh-CN"/>
        </w:rPr>
        <w:t>艾平</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填报日期：</w:t>
      </w:r>
      <w:r>
        <w:rPr>
          <w:rFonts w:hint="eastAsia" w:eastAsia="仿宋" w:cs="Times New Roman"/>
          <w:sz w:val="22"/>
          <w:szCs w:val="22"/>
          <w:lang w:val="en-US" w:eastAsia="zh-CN"/>
        </w:rPr>
        <w:t xml:space="preserve">2022.6.16日    </w:t>
      </w:r>
      <w:r>
        <w:rPr>
          <w:rFonts w:hint="default" w:ascii="Times New Roman" w:hAnsi="Times New Roman" w:eastAsia="仿宋" w:cs="Times New Roman"/>
          <w:sz w:val="22"/>
          <w:szCs w:val="22"/>
        </w:rPr>
        <w:t xml:space="preserve"> 联系电话：</w:t>
      </w:r>
      <w:r>
        <w:rPr>
          <w:rFonts w:hint="eastAsia" w:eastAsia="仿宋" w:cs="Times New Roman"/>
          <w:sz w:val="22"/>
          <w:szCs w:val="22"/>
          <w:lang w:val="en-US" w:eastAsia="zh-CN"/>
        </w:rPr>
        <w:t>18797777700</w:t>
      </w:r>
      <w:r>
        <w:rPr>
          <w:rFonts w:hint="default" w:ascii="Times New Roman" w:hAnsi="Times New Roman" w:eastAsia="仿宋" w:cs="Times New Roman"/>
          <w:sz w:val="22"/>
          <w:szCs w:val="22"/>
        </w:rPr>
        <w:t xml:space="preserve"> </w:t>
      </w:r>
      <w:r>
        <w:rPr>
          <w:rFonts w:hint="eastAsia"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p>
    <w:p>
      <w:pPr>
        <w:spacing w:line="560" w:lineRule="exact"/>
        <w:ind w:firstLine="440" w:firstLineChars="200"/>
        <w:rPr>
          <w:rFonts w:hint="eastAsia" w:ascii="Times New Roman" w:hAnsi="Times New Roman" w:eastAsia="仿宋" w:cs="Times New Roman"/>
          <w:b w:val="0"/>
          <w:bCs w:val="0"/>
          <w:sz w:val="22"/>
          <w:szCs w:val="2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p>
      <w:pPr>
        <w:spacing w:line="560" w:lineRule="exact"/>
        <w:ind w:firstLine="640" w:firstLineChars="200"/>
        <w:rPr>
          <w:rFonts w:hint="eastAsia" w:ascii="仿宋" w:hAnsi="仿宋" w:eastAsia="仿宋" w:cs="仿宋"/>
          <w:color w:val="000000"/>
          <w:sz w:val="32"/>
          <w:szCs w:val="32"/>
          <w:lang w:val="en-US" w:eastAsia="zh-CN"/>
        </w:rPr>
      </w:pPr>
    </w:p>
    <w:sectPr>
      <w:pgSz w:w="11906" w:h="16838"/>
      <w:pgMar w:top="2154" w:right="1531" w:bottom="2154" w:left="1531" w:header="851" w:footer="992" w:gutter="0"/>
      <w:cols w:space="0" w:num="1"/>
      <w:rtlGutter w:val="0"/>
      <w:docGrid w:type="linesAndChars" w:linePitch="313"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4E38E"/>
    <w:multiLevelType w:val="singleLevel"/>
    <w:tmpl w:val="8194E38E"/>
    <w:lvl w:ilvl="0" w:tentative="0">
      <w:start w:val="2"/>
      <w:numFmt w:val="decimal"/>
      <w:lvlText w:val="%1."/>
      <w:lvlJc w:val="left"/>
      <w:pPr>
        <w:tabs>
          <w:tab w:val="left" w:pos="312"/>
        </w:tabs>
        <w:ind w:left="1560" w:leftChars="0" w:firstLine="0" w:firstLineChars="0"/>
      </w:pPr>
    </w:lvl>
  </w:abstractNum>
  <w:abstractNum w:abstractNumId="1">
    <w:nsid w:val="D7CD2D9A"/>
    <w:multiLevelType w:val="singleLevel"/>
    <w:tmpl w:val="D7CD2D9A"/>
    <w:lvl w:ilvl="0" w:tentative="0">
      <w:start w:val="3"/>
      <w:numFmt w:val="decimal"/>
      <w:suff w:val="nothing"/>
      <w:lvlText w:val="（%1）"/>
      <w:lvlJc w:val="left"/>
    </w:lvl>
  </w:abstractNum>
  <w:abstractNum w:abstractNumId="2">
    <w:nsid w:val="DEA1B715"/>
    <w:multiLevelType w:val="singleLevel"/>
    <w:tmpl w:val="DEA1B715"/>
    <w:lvl w:ilvl="0" w:tentative="0">
      <w:start w:val="1"/>
      <w:numFmt w:val="chineseCounting"/>
      <w:suff w:val="nothing"/>
      <w:lvlText w:val="%1、"/>
      <w:lvlJc w:val="left"/>
      <w:rPr>
        <w:rFonts w:hint="eastAsia"/>
      </w:rPr>
    </w:lvl>
  </w:abstractNum>
  <w:abstractNum w:abstractNumId="3">
    <w:nsid w:val="0B6971E2"/>
    <w:multiLevelType w:val="singleLevel"/>
    <w:tmpl w:val="0B6971E2"/>
    <w:lvl w:ilvl="0" w:tentative="0">
      <w:start w:val="2"/>
      <w:numFmt w:val="chineseCounting"/>
      <w:suff w:val="nothing"/>
      <w:lvlText w:val="（%1）"/>
      <w:lvlJc w:val="left"/>
      <w:rPr>
        <w:rFonts w:hint="eastAsia"/>
      </w:rPr>
    </w:lvl>
  </w:abstractNum>
  <w:abstractNum w:abstractNumId="4">
    <w:nsid w:val="34C9CF0D"/>
    <w:multiLevelType w:val="singleLevel"/>
    <w:tmpl w:val="34C9CF0D"/>
    <w:lvl w:ilvl="0" w:tentative="0">
      <w:start w:val="3"/>
      <w:numFmt w:val="decimal"/>
      <w:suff w:val="nothing"/>
      <w:lvlText w:val="%1、"/>
      <w:lvlJc w:val="left"/>
      <w:pPr>
        <w:ind w:left="4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jVmZGVhZWM0N2ZiY2YyM2YxMzFlOGIzZDYwNW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856BDE"/>
    <w:rsid w:val="027014EA"/>
    <w:rsid w:val="02A77391"/>
    <w:rsid w:val="03147346"/>
    <w:rsid w:val="03184877"/>
    <w:rsid w:val="03D94883"/>
    <w:rsid w:val="04086EE8"/>
    <w:rsid w:val="087106C0"/>
    <w:rsid w:val="08844E22"/>
    <w:rsid w:val="08972A1F"/>
    <w:rsid w:val="08CA1BB6"/>
    <w:rsid w:val="092A2043"/>
    <w:rsid w:val="09396484"/>
    <w:rsid w:val="0A596A77"/>
    <w:rsid w:val="0AE8457B"/>
    <w:rsid w:val="0C8901C1"/>
    <w:rsid w:val="0D425D8B"/>
    <w:rsid w:val="0DA75531"/>
    <w:rsid w:val="0FE54E95"/>
    <w:rsid w:val="104769EA"/>
    <w:rsid w:val="10572E1C"/>
    <w:rsid w:val="13085B4B"/>
    <w:rsid w:val="1415565E"/>
    <w:rsid w:val="14536FF2"/>
    <w:rsid w:val="14F90C59"/>
    <w:rsid w:val="159D40C7"/>
    <w:rsid w:val="17BA1946"/>
    <w:rsid w:val="18E86D07"/>
    <w:rsid w:val="19D84FCE"/>
    <w:rsid w:val="1AA619A6"/>
    <w:rsid w:val="1BFE13A6"/>
    <w:rsid w:val="1C5B564F"/>
    <w:rsid w:val="1DB31B4A"/>
    <w:rsid w:val="1E8307FC"/>
    <w:rsid w:val="1F893D4B"/>
    <w:rsid w:val="2096247D"/>
    <w:rsid w:val="21922704"/>
    <w:rsid w:val="225C6436"/>
    <w:rsid w:val="232272BA"/>
    <w:rsid w:val="24EA02AB"/>
    <w:rsid w:val="26D81576"/>
    <w:rsid w:val="285D15A5"/>
    <w:rsid w:val="28655BFD"/>
    <w:rsid w:val="28A40771"/>
    <w:rsid w:val="294E705B"/>
    <w:rsid w:val="29983D23"/>
    <w:rsid w:val="29EE0528"/>
    <w:rsid w:val="29F7199C"/>
    <w:rsid w:val="2B4C581C"/>
    <w:rsid w:val="2B7803BF"/>
    <w:rsid w:val="2C565018"/>
    <w:rsid w:val="2CDF7FCA"/>
    <w:rsid w:val="2D3A366B"/>
    <w:rsid w:val="2DEF667C"/>
    <w:rsid w:val="2EE918B5"/>
    <w:rsid w:val="2F236894"/>
    <w:rsid w:val="2FBE036A"/>
    <w:rsid w:val="302E3742"/>
    <w:rsid w:val="314A77FE"/>
    <w:rsid w:val="317C73B1"/>
    <w:rsid w:val="317F1055"/>
    <w:rsid w:val="31987E08"/>
    <w:rsid w:val="337F42B4"/>
    <w:rsid w:val="33B30553"/>
    <w:rsid w:val="34DA3E98"/>
    <w:rsid w:val="350F11B0"/>
    <w:rsid w:val="35104790"/>
    <w:rsid w:val="359A728B"/>
    <w:rsid w:val="35B95783"/>
    <w:rsid w:val="360B1BCE"/>
    <w:rsid w:val="36623D7B"/>
    <w:rsid w:val="36971F00"/>
    <w:rsid w:val="380E7FBC"/>
    <w:rsid w:val="3BB104DF"/>
    <w:rsid w:val="3CDE38B1"/>
    <w:rsid w:val="3E834AC1"/>
    <w:rsid w:val="3F1C2956"/>
    <w:rsid w:val="3F76143A"/>
    <w:rsid w:val="407C4A1A"/>
    <w:rsid w:val="41050517"/>
    <w:rsid w:val="410B7392"/>
    <w:rsid w:val="423D525F"/>
    <w:rsid w:val="4249440B"/>
    <w:rsid w:val="42CA554C"/>
    <w:rsid w:val="448307F2"/>
    <w:rsid w:val="4553266D"/>
    <w:rsid w:val="45EC75B5"/>
    <w:rsid w:val="48D81887"/>
    <w:rsid w:val="49576AE3"/>
    <w:rsid w:val="4A3D4D12"/>
    <w:rsid w:val="4AB22AE7"/>
    <w:rsid w:val="4CE55859"/>
    <w:rsid w:val="4D9F4953"/>
    <w:rsid w:val="4F10078B"/>
    <w:rsid w:val="4F6E7527"/>
    <w:rsid w:val="501B046E"/>
    <w:rsid w:val="50BF4EA5"/>
    <w:rsid w:val="511931FB"/>
    <w:rsid w:val="5175184F"/>
    <w:rsid w:val="52AC2F98"/>
    <w:rsid w:val="57727743"/>
    <w:rsid w:val="57D60097"/>
    <w:rsid w:val="596F1511"/>
    <w:rsid w:val="5D384E73"/>
    <w:rsid w:val="5E105E71"/>
    <w:rsid w:val="5E780320"/>
    <w:rsid w:val="5ECC09D9"/>
    <w:rsid w:val="60CC2038"/>
    <w:rsid w:val="61407A63"/>
    <w:rsid w:val="61C33220"/>
    <w:rsid w:val="63C36A22"/>
    <w:rsid w:val="641461CF"/>
    <w:rsid w:val="64183371"/>
    <w:rsid w:val="64451A89"/>
    <w:rsid w:val="673E5311"/>
    <w:rsid w:val="67BD092C"/>
    <w:rsid w:val="67D964EE"/>
    <w:rsid w:val="68B44B54"/>
    <w:rsid w:val="68B95F8C"/>
    <w:rsid w:val="68C813CB"/>
    <w:rsid w:val="68FF1815"/>
    <w:rsid w:val="698750FB"/>
    <w:rsid w:val="6AF03813"/>
    <w:rsid w:val="6B184CB3"/>
    <w:rsid w:val="6C233AF4"/>
    <w:rsid w:val="6C4B5347"/>
    <w:rsid w:val="6CA1384A"/>
    <w:rsid w:val="6DD23636"/>
    <w:rsid w:val="6FA67561"/>
    <w:rsid w:val="70B053AD"/>
    <w:rsid w:val="7173731B"/>
    <w:rsid w:val="720A29C0"/>
    <w:rsid w:val="729F0F46"/>
    <w:rsid w:val="73EF00BF"/>
    <w:rsid w:val="748F7ABB"/>
    <w:rsid w:val="74A4534E"/>
    <w:rsid w:val="76C47DAA"/>
    <w:rsid w:val="799E1786"/>
    <w:rsid w:val="79B87C7E"/>
    <w:rsid w:val="79EF1D01"/>
    <w:rsid w:val="7A0B1DC0"/>
    <w:rsid w:val="7C2E06F9"/>
    <w:rsid w:val="7C393D9E"/>
    <w:rsid w:val="7D697134"/>
    <w:rsid w:val="7FB10B62"/>
    <w:rsid w:val="F63F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14549</Words>
  <Characters>17553</Characters>
  <Lines>69</Lines>
  <Paragraphs>19</Paragraphs>
  <TotalTime>20</TotalTime>
  <ScaleCrop>false</ScaleCrop>
  <LinksUpToDate>false</LinksUpToDate>
  <CharactersWithSpaces>18437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greatwall</cp:lastModifiedBy>
  <cp:lastPrinted>2022-07-27T20:55:00Z</cp:lastPrinted>
  <dcterms:modified xsi:type="dcterms:W3CDTF">2022-09-20T18:14:21Z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D35FE307CD8B4231BBC506FC0855AEEC</vt:lpwstr>
  </property>
</Properties>
</file>