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常德市市场监督管理局</w:t>
      </w:r>
    </w:p>
    <w:p>
      <w:pPr>
        <w:pStyle w:val="12"/>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2021年</w:t>
      </w:r>
      <w:r>
        <w:rPr>
          <w:rFonts w:hint="eastAsia" w:ascii="方正小标宋简体" w:hAnsi="方正小标宋简体" w:eastAsia="方正小标宋简体" w:cs="方正小标宋简体"/>
          <w:sz w:val="84"/>
          <w:szCs w:val="84"/>
          <w:lang w:eastAsia="zh-CN"/>
        </w:rPr>
        <w:t>度</w:t>
      </w:r>
      <w:r>
        <w:rPr>
          <w:rFonts w:hint="eastAsia" w:ascii="方正小标宋简体" w:hAnsi="方正小标宋简体" w:eastAsia="方正小标宋简体" w:cs="方正小标宋简体"/>
          <w:sz w:val="84"/>
          <w:szCs w:val="84"/>
        </w:rPr>
        <w:t>部门决算</w:t>
      </w:r>
      <w:r>
        <w:rPr>
          <w:rFonts w:hint="eastAsia" w:ascii="方正小标宋简体" w:hAnsi="方正小标宋简体" w:eastAsia="方正小标宋简体" w:cs="方正小标宋简体"/>
          <w:sz w:val="84"/>
          <w:szCs w:val="84"/>
          <w:lang w:eastAsia="zh-CN"/>
        </w:rPr>
        <w:t>公开</w:t>
      </w:r>
    </w:p>
    <w:p>
      <w:pPr>
        <w:pStyle w:val="12"/>
        <w:jc w:val="center"/>
        <w:rPr>
          <w:sz w:val="56"/>
          <w:szCs w:val="56"/>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56"/>
          <w:szCs w:val="56"/>
        </w:rPr>
      </w:pP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目</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录</w:t>
      </w:r>
    </w:p>
    <w:p>
      <w:pPr>
        <w:pStyle w:val="12"/>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pStyle w:val="12"/>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第一部</w:t>
      </w:r>
      <w:r>
        <w:rPr>
          <w:rFonts w:hint="eastAsia" w:ascii="仿宋_GB2312" w:hAnsi="仿宋_GB2312" w:eastAsia="仿宋_GB2312" w:cs="仿宋_GB2312"/>
          <w:b/>
          <w:sz w:val="28"/>
          <w:szCs w:val="28"/>
          <w:lang w:eastAsia="zh-CN"/>
        </w:rPr>
        <w:t>分常德市市场监督管理</w:t>
      </w:r>
      <w:r>
        <w:rPr>
          <w:rFonts w:hint="eastAsia" w:ascii="仿宋_GB2312" w:hAnsi="仿宋_GB2312" w:eastAsia="仿宋_GB2312" w:cs="仿宋_GB2312"/>
          <w:b/>
          <w:sz w:val="28"/>
          <w:szCs w:val="28"/>
          <w:lang w:val="en-US" w:eastAsia="zh-CN"/>
        </w:rPr>
        <w:t>局</w:t>
      </w:r>
      <w:r>
        <w:rPr>
          <w:rFonts w:hint="eastAsia" w:ascii="仿宋_GB2312" w:hAnsi="仿宋_GB2312" w:eastAsia="仿宋_GB2312" w:cs="仿宋_GB2312"/>
          <w:b/>
          <w:sz w:val="28"/>
          <w:szCs w:val="28"/>
          <w:lang w:eastAsia="zh-CN"/>
        </w:rPr>
        <w:t>单位</w:t>
      </w:r>
      <w:r>
        <w:rPr>
          <w:rFonts w:hint="eastAsia" w:ascii="仿宋_GB2312" w:hAnsi="仿宋_GB2312" w:eastAsia="仿宋_GB2312" w:cs="仿宋_GB2312"/>
          <w:b/>
          <w:sz w:val="28"/>
          <w:szCs w:val="28"/>
        </w:rPr>
        <w:t>概况</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部门职责</w:t>
      </w:r>
    </w:p>
    <w:p>
      <w:pPr>
        <w:pStyle w:val="12"/>
        <w:keepNext w:val="0"/>
        <w:keepLines w:val="0"/>
        <w:pageBreakBefore w:val="0"/>
        <w:widowControl w:val="0"/>
        <w:numPr>
          <w:ilvl w:val="0"/>
          <w:numId w:val="1"/>
        </w:numPr>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机构设置</w:t>
      </w:r>
    </w:p>
    <w:p>
      <w:pPr>
        <w:pStyle w:val="12"/>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第二部分2021年度部门决算表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八、政府性基金预算财政拨款收入支出决算表</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九、国有资本经营预算财政拨款支出决算表</w:t>
      </w:r>
    </w:p>
    <w:p>
      <w:pPr>
        <w:pStyle w:val="12"/>
        <w:keepNext w:val="0"/>
        <w:keepLines w:val="0"/>
        <w:pageBreakBefore w:val="0"/>
        <w:widowControl w:val="0"/>
        <w:kinsoku/>
        <w:wordWrap/>
        <w:overflowPunct/>
        <w:topLinePunct w:val="0"/>
        <w:bidi w:val="0"/>
        <w:snapToGrid/>
        <w:spacing w:line="600" w:lineRule="exact"/>
        <w:ind w:left="0" w:leftChars="0" w:right="0" w:rightChars="0"/>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第三部分2021年度部门决算情况说明</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keepNext w:val="0"/>
        <w:keepLines w:val="0"/>
        <w:pageBreakBefore w:val="0"/>
        <w:widowControl w:val="0"/>
        <w:kinsoku/>
        <w:wordWrap/>
        <w:overflowPunct/>
        <w:topLinePunct w:val="0"/>
        <w:bidi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九、机关运行经费支出说明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00" w:firstLineChars="25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十一、政府采购支出说明</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十二、国有资产占用情况说明</w:t>
      </w:r>
    </w:p>
    <w:p>
      <w:pPr>
        <w:pStyle w:val="12"/>
        <w:keepNext w:val="0"/>
        <w:keepLines w:val="0"/>
        <w:pageBreakBefore w:val="0"/>
        <w:widowControl w:val="0"/>
        <w:kinsoku/>
        <w:wordWrap/>
        <w:overflowPunct/>
        <w:topLinePunct w:val="0"/>
        <w:bidi w:val="0"/>
        <w:snapToGrid/>
        <w:spacing w:line="600" w:lineRule="exact"/>
        <w:ind w:left="0" w:leftChars="0"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left"/>
        <w:textAlignment w:val="auto"/>
        <w:outlineLvl w:val="9"/>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第五部分附件</w:t>
      </w: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keepNext w:val="0"/>
        <w:keepLines w:val="0"/>
        <w:pageBreakBefore w:val="0"/>
        <w:widowControl w:val="0"/>
        <w:kinsoku/>
        <w:wordWrap/>
        <w:overflowPunct/>
        <w:topLinePunct w:val="0"/>
        <w:bidi w:val="0"/>
        <w:snapToGrid/>
        <w:spacing w:line="600" w:lineRule="exact"/>
        <w:ind w:left="0" w:leftChars="0" w:right="0" w:rightChars="0"/>
        <w:jc w:val="center"/>
        <w:textAlignment w:val="auto"/>
        <w:outlineLvl w:val="9"/>
        <w:rPr>
          <w:rFonts w:hint="eastAsia" w:ascii="仿宋_GB2312" w:hAnsi="仿宋_GB2312" w:eastAsia="仿宋_GB2312" w:cs="仿宋_GB2312"/>
          <w:sz w:val="72"/>
          <w:szCs w:val="72"/>
        </w:rPr>
      </w:pPr>
    </w:p>
    <w:p>
      <w:pPr>
        <w:jc w:val="center"/>
        <w:rPr>
          <w:sz w:val="72"/>
          <w:szCs w:val="72"/>
        </w:rPr>
      </w:pPr>
    </w:p>
    <w:p>
      <w:pPr>
        <w:jc w:val="center"/>
        <w:rPr>
          <w:sz w:val="72"/>
          <w:szCs w:val="72"/>
        </w:rPr>
      </w:pPr>
    </w:p>
    <w:p>
      <w:pPr>
        <w:rPr>
          <w:sz w:val="72"/>
          <w:szCs w:val="72"/>
        </w:rPr>
      </w:pPr>
    </w:p>
    <w:p>
      <w:pPr>
        <w:pStyle w:val="12"/>
        <w:jc w:val="both"/>
        <w:rPr>
          <w:sz w:val="84"/>
          <w:szCs w:val="84"/>
        </w:rPr>
      </w:pPr>
    </w:p>
    <w:p>
      <w:pPr>
        <w:pStyle w:val="12"/>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 xml:space="preserve">第一部分 </w:t>
      </w:r>
    </w:p>
    <w:p>
      <w:pPr>
        <w:pStyle w:val="12"/>
        <w:jc w:val="center"/>
        <w:rPr>
          <w:rFonts w:hint="eastAsia" w:ascii="方正小标宋简体" w:hAnsi="方正小标宋简体" w:eastAsia="方正小标宋简体" w:cs="方正小标宋简体"/>
          <w:sz w:val="84"/>
          <w:szCs w:val="84"/>
        </w:rPr>
      </w:pPr>
    </w:p>
    <w:p>
      <w:pPr>
        <w:pStyle w:val="12"/>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eastAsia="zh-CN"/>
        </w:rPr>
        <w:t>常德市市场监督管理局</w:t>
      </w:r>
      <w:r>
        <w:rPr>
          <w:rFonts w:hint="eastAsia" w:ascii="方正小标宋简体" w:hAnsi="方正小标宋简体" w:eastAsia="方正小标宋简体" w:cs="方正小标宋简体"/>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both"/>
        <w:rPr>
          <w:sz w:val="72"/>
          <w:szCs w:val="72"/>
        </w:rPr>
      </w:pPr>
    </w:p>
    <w:p>
      <w:pPr>
        <w:pStyle w:val="4"/>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jc w:val="left"/>
        <w:textAlignment w:val="auto"/>
        <w:outlineLvl w:val="9"/>
        <w:rPr>
          <w:rFonts w:hint="eastAsia" w:ascii="仿宋_GB2312" w:hAnsi="仿宋_GB2312" w:eastAsia="仿宋_GB2312" w:cs="仿宋_GB2312"/>
          <w:i/>
          <w:color w:val="FF0000"/>
          <w:kern w:val="0"/>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w:t>
      </w:r>
    </w:p>
    <w:p>
      <w:pPr>
        <w:pStyle w:val="14"/>
        <w:keepNext w:val="0"/>
        <w:keepLines w:val="0"/>
        <w:pageBreakBefore w:val="0"/>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中共常德市委办公室常德市人民政府办公室关于印发&lt;常德市市场监督管理局职能配置、内设机构和人员编制规定&gt;的通知》（常办﹝2019﹞29号，以下简称《三定方案》），新组建常德市市场监督管理局（以下简称市市场监管局），为正处级单位，加挂常德市知识产权局（以下简称市知识产权局）牌子。具体部门职责如下：</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（一）负责市场综合监督管理。贯彻执行市场监督管理的方针政策和法律法规，拟订并组织实施全市市场监督管理工作规划、规范性文件，规范和维护市场秩序，营造诚实守信、公平竞争的市场环境。</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负责市场主体统一登记注册。指导各类企业（包括授权范围内的外商投资企业）、农民专业合作社和从事经营活动的单位、个体工商户等市场主体的登记注册工作。建立市场主体信息公示和共享机制，依法公示和共享有关信息，加强信用监管，推动市场主体信用体系建设。</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（三）负责组织和指导市场监管综合执法工作。指导全市市场监管综合执法队伍整合和建设，推动实行统一的市场监管。组织查处跨区域及其他重大违法案件。规范市场监管行政执法行为。</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负责反垄断统一执法。负责组织协调反倾销、反补贴保障措施等与进出口公平贸易相关的工作，协助开展对外贸易调查和产业损害调查，指导协调产业安全应对工作；协助对经营者集中行为进行反垄断审查，指导企业在国外的反垄断应诉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负责宏观质量管理。贯彻国家、省质量发展的有关政策，拟订推进质量发展战略的政策措施并组织实施。完善质量奖励制度；负责政府质量工作考核；会同有关部门组织实施重大工程设施及工程设备质量监理制度，组织重大质量事故调查，实施缺陷产品召回制度，监督管理产品防伪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负责产品质量安全监督管理。负责产品质量安全强制检验、风险监控、监督抽查、定期监督检查等相关工作。落实质量分级制度、质量安全追溯制度。负责纤维质量监督管理工作。负责工业产品生产许可管理。负责机动车安全检验技术检验机构监督管理工作。负责产品质量安全仲裁检验、鉴定监督管理工作。负责产品质量专项整治和打击假冒伪劣违法行为，依法查处产品质量违法行为。组织协调有关专项打假活动。</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（八）负责特种设备安全监督管理。综合管理特种设备安全监察、监督工作。监督检查高能耗特种设备节能标准和锅炉环境保护标准的执行情况。按照法定权限组织调查处理特种设备事故并进行统计分析。</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负责食品安全监督管理综合协调。组织拟定食品安全有关措施办法并组织实施。负责食品安全应急体系建设，组织指导食品安全事故应急处置和调查处理工作，监督事故查处落实情况。建立健全食品安全重要信息直报制度。承担市食品安全委员会日常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验、核查处置、风险调查、风险交流工作。组织实施特殊食品备案和监督管理。负责食盐专营管理和食盐安全监督管理。</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（十一）负责统一管理计量工作。推行法定计量单位和国家计量制度。依职责管理计量器具及量值传递和比对工作。规范、监督商品量和市场计量行为。</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（十二） 负责统一管理标准化工作。依法承担地方标准的立项、编号和发布工作，指导开展标准化试点示范工作。依据法定职责，对标准的制定进行指导监督，对标准的实施进行监督检查。推行采用国际标准。承担企业法人统一社会信用代码、商品条码及法人数据库相关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（十三）负责统一管理认证认可工作。依法对检验检测机构、检查机构资质资格及其检验活动进行监督管理，依法监督管理认证中介机构，依法监督管理体系认证和产品认证工作。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（十四）负责市场监督管理、知识产权领域科技和信息化建设、新闻宣传、对外交流与合作。按规定承担技术性贸易措施有关工作。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（十五）负责实施知识产权战略，推进知识产权强市建设。拟定实施知识产权创造、保护、运用的措施。负责知识产权公共服务体系建设，推动知识产权信息传播利用。</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（十六）负责保护知识产权。落实严格保护商标、专利、原产地地理标志等相关工作，负责知识产权保护体系建设，组织指导商标、专利执法工作。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（十七）负责知识产权创造运用。按权限负责商标、专利和原产地地理标志的管理，开展知识产权运营体系建设，指导重大经济活动知识产权评议，规范知识产权交易和无形资产评估，促进知识产权转移转化。</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（十八）负责组织开展消费维权工作，查处制售假冒伪劣等违法行为，指导消费者咨询、申诉、举报受理、处理和网络体系建设等工作，保护经营者、消费者合法权益。</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（十九）负责权限内食品、药品、医疗器械、化妆品行政许可；负责药品、医疗器械、保健食品广告内容的监督检查。</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负责监督实施药品和医疗器械标准、分类管理制度；负责配合上级部门监督实施药品和医疗器械研制、生产、经营、使用质量管理规范；配合上级部门监督实施药品、医疗器械注册制度；负责建立药品不良反应、医疗器械不良事件监测体系，组织开展监测和处置工作；配合上级部门开展药品、医疗器械再评价和淘汰相关工作；监督实施执业药师制度；配合有关部门实施国家基本药物制度。</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一）制定全市药品、医疗器械、化妆品监督管理的稽查制度并组织实施；依法组织查处药品、医疗器械、化妆品违法行为；组织开展相关质量抽验并发布有关信息；依法处理有关药品、医疗器械、化妆品安全的咨询、投诉、举报；监督实施问题产品召回和处置制度。</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（二十二）依法承担放射性药品、麻醉药品、毒性药品及精神药品、药品类易制毒化学品的监督管理工作。</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（二十三）完成市委、市政府交办的其他事项。</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ind w:firstLine="640" w:firstLineChars="200"/>
        <w:rPr>
          <w:rFonts w:hint="eastAsia"/>
          <w:lang w:val="en-US" w:eastAsia="zh-CN"/>
        </w:rPr>
      </w:pPr>
      <w:r>
        <w:rPr>
          <w:rFonts w:hint="eastAsia" w:ascii="仿宋_GB2312" w:hAnsi="仿宋_GB2312" w:eastAsia="仿宋_GB2312" w:cs="仿宋_GB2312"/>
          <w:bCs/>
          <w:kern w:val="0"/>
          <w:sz w:val="32"/>
          <w:szCs w:val="32"/>
        </w:rPr>
        <w:t>（一）内设机构设置。</w:t>
      </w:r>
      <w:r>
        <w:rPr>
          <w:rFonts w:hint="default" w:ascii="仿宋_GB2312" w:hAnsi="仿宋_GB2312" w:eastAsia="仿宋_GB2312" w:cs="仿宋_GB2312"/>
          <w:kern w:val="0"/>
          <w:sz w:val="32"/>
          <w:szCs w:val="32"/>
          <w:lang w:val="en-US" w:eastAsia="zh-CN" w:bidi="ar-SA"/>
        </w:rPr>
        <w:t>根据市编委办核定，</w:t>
      </w:r>
      <w:r>
        <w:rPr>
          <w:rFonts w:hint="eastAsia" w:ascii="仿宋_GB2312" w:hAnsi="仿宋_GB2312" w:eastAsia="仿宋_GB2312" w:cs="仿宋_GB2312"/>
          <w:kern w:val="0"/>
          <w:sz w:val="32"/>
          <w:szCs w:val="32"/>
          <w:lang w:val="en-US" w:eastAsia="zh-CN" w:bidi="ar-SA"/>
        </w:rPr>
        <w:t>市市场监管局本级内设科室34个（3个科室合署办公），1个直属机关党委，1个离退休人员管理服务科，所属未独立核算事业单位5个，所属独立核算事业单位6个。全部纳入2021年部门决算编制范围。</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内设科室分别是：办公室、人事科、财务科（科技科与其合署办公）、综合研究室、法制科、信用监督管理科、网络交易监督管理科、广告监督管理科、质量发展科、产品质量安全监督管理科、食品安全协调科、食品生产安全监督管理科、食品流通监督管理科、食品消费监督管理科、食品安全抽检监测科、特殊食品安全监督管理科、特种设备安全监察科（特种设备事故调查处理办公室）、计量科、标准化科、认证监督管理科、知识产权促进科、知识产权保护科、知识产权运用科、消费者权益保护科、价格监督检查与反不正当竞争科、新闻宣传与应急管理科、药品注册管理和科技科、药品生产监督管理科、药品流通监督管理科、医疗器械监督管理科、化妆品监督管理科、行政审批服务办公室（登记注册科与其合署办公）、投诉举报办公室、非公经济组织党建指导科（民营经济发展科与其合署办公）。</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机关工会根据组织部同意设立机关工会主席，由正科级实职担任。</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所属</w:t>
      </w:r>
      <w:r>
        <w:rPr>
          <w:rFonts w:hint="eastAsia" w:ascii="仿宋_GB2312" w:hAnsi="仿宋_GB2312" w:eastAsia="仿宋_GB2312" w:cs="仿宋_GB2312"/>
          <w:kern w:val="0"/>
          <w:sz w:val="32"/>
          <w:szCs w:val="32"/>
          <w:lang w:val="en-US" w:eastAsia="zh-CN" w:bidi="ar-SA"/>
        </w:rPr>
        <w:t>非独立核算</w:t>
      </w:r>
      <w:r>
        <w:rPr>
          <w:rFonts w:hint="default" w:ascii="仿宋_GB2312" w:hAnsi="仿宋_GB2312" w:eastAsia="仿宋_GB2312" w:cs="仿宋_GB2312"/>
          <w:kern w:val="0"/>
          <w:sz w:val="32"/>
          <w:szCs w:val="32"/>
          <w:lang w:val="en-US" w:eastAsia="zh-CN" w:bidi="ar-SA"/>
        </w:rPr>
        <w:t>事业单位分别是</w:t>
      </w:r>
      <w:r>
        <w:rPr>
          <w:rFonts w:hint="eastAsia" w:ascii="仿宋_GB2312" w:hAnsi="仿宋_GB2312" w:eastAsia="仿宋_GB2312" w:cs="仿宋_GB2312"/>
          <w:kern w:val="0"/>
          <w:sz w:val="32"/>
          <w:szCs w:val="32"/>
          <w:lang w:val="en-US" w:eastAsia="zh-CN" w:bidi="ar-SA"/>
        </w:rPr>
        <w:t>：市消费者权益保护委员会秘书处、市个体私营经济指导中心、市食品药品审评认证与不良反应监测中心、市市场监督管理局信息中心、市市场监管综合行政执法支队。</w:t>
      </w:r>
    </w:p>
    <w:p>
      <w:pPr>
        <w:pStyle w:val="12"/>
        <w:spacing w:line="600" w:lineRule="exact"/>
        <w:ind w:firstLine="640" w:firstLineChars="200"/>
        <w:outlineLvl w:val="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所属独立核算二级单位分别是：市产商品质量监督检验所、市计量测试检定所、市纤维检验监督管理局、市质量技术监督信息管理所、市食品检验所、市食品药品检验所。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rPr>
        <w:t>决算单位构成。</w:t>
      </w:r>
      <w:r>
        <w:rPr>
          <w:rFonts w:hint="eastAsia" w:ascii="仿宋_GB2312" w:hAnsi="仿宋_GB2312" w:eastAsia="仿宋_GB2312" w:cs="仿宋_GB2312"/>
          <w:color w:val="auto"/>
          <w:kern w:val="0"/>
          <w:sz w:val="32"/>
          <w:szCs w:val="32"/>
          <w:lang w:val="en-US" w:eastAsia="zh-CN" w:bidi="ar-SA"/>
        </w:rPr>
        <w:t>本单位2021年部门决算汇总公开单位构成包括：市市场监管局本级及6个所属独立核算事业单位。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2"/>
        <w:jc w:val="center"/>
        <w:rPr>
          <w:rFonts w:hint="eastAsia"/>
          <w:sz w:val="56"/>
          <w:szCs w:val="56"/>
        </w:rPr>
      </w:pPr>
    </w:p>
    <w:p>
      <w:pPr>
        <w:pStyle w:val="12"/>
        <w:jc w:val="both"/>
        <w:rPr>
          <w:sz w:val="84"/>
          <w:szCs w:val="84"/>
        </w:rPr>
      </w:pPr>
    </w:p>
    <w:p>
      <w:pPr>
        <w:pStyle w:val="12"/>
        <w:jc w:val="center"/>
        <w:rPr>
          <w:sz w:val="84"/>
          <w:szCs w:val="84"/>
        </w:rPr>
      </w:pPr>
    </w:p>
    <w:p>
      <w:pPr>
        <w:pStyle w:val="12"/>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第二部分</w:t>
      </w:r>
    </w:p>
    <w:p>
      <w:pPr>
        <w:pStyle w:val="12"/>
        <w:jc w:val="center"/>
        <w:rPr>
          <w:rFonts w:hint="eastAsia" w:ascii="方正小标宋简体" w:hAnsi="方正小标宋简体" w:eastAsia="方正小标宋简体" w:cs="方正小标宋简体"/>
          <w:sz w:val="84"/>
          <w:szCs w:val="84"/>
        </w:rPr>
      </w:pPr>
    </w:p>
    <w:p>
      <w:pPr>
        <w:pStyle w:val="12"/>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部门决算表</w:t>
      </w:r>
    </w:p>
    <w:p>
      <w:pPr>
        <w:widowControl/>
        <w:spacing w:line="600" w:lineRule="exact"/>
        <w:rPr>
          <w:rFonts w:hint="eastAsia" w:ascii="宋体" w:hAnsi="宋体" w:cs="黑体"/>
          <w:i/>
          <w:color w:val="FF0000"/>
          <w:kern w:val="0"/>
          <w:sz w:val="32"/>
          <w:szCs w:val="32"/>
          <w:lang w:val="en-US" w:eastAsia="zh-CN" w:bidi="ar-SA"/>
        </w:rPr>
      </w:pPr>
    </w:p>
    <w:p>
      <w:pPr>
        <w:jc w:val="center"/>
        <w:rPr>
          <w:sz w:val="72"/>
          <w:szCs w:val="72"/>
        </w:rPr>
      </w:pPr>
    </w:p>
    <w:p>
      <w:pPr>
        <w:jc w:val="left"/>
        <w:rPr>
          <w:rFonts w:asciiTheme="minorEastAsia" w:hAnsiTheme="minorEastAsia"/>
          <w:sz w:val="32"/>
          <w:szCs w:val="32"/>
        </w:rPr>
        <w:sectPr>
          <w:footerReference r:id="rId3" w:type="default"/>
          <w:pgSz w:w="11906" w:h="16838"/>
          <w:pgMar w:top="2154" w:right="1531" w:bottom="2154" w:left="1531" w:header="851" w:footer="992" w:gutter="0"/>
          <w:cols w:space="0" w:num="1"/>
          <w:rtlGutter w:val="0"/>
          <w:docGrid w:type="lines" w:linePitch="313" w:charSpace="0"/>
        </w:sectPr>
      </w:pPr>
    </w:p>
    <w:tbl>
      <w:tblPr>
        <w:tblStyle w:val="8"/>
        <w:tblW w:w="14402" w:type="dxa"/>
        <w:jc w:val="center"/>
        <w:tblLayout w:type="fixed"/>
        <w:tblCellMar>
          <w:top w:w="0" w:type="dxa"/>
          <w:left w:w="0" w:type="dxa"/>
          <w:bottom w:w="0" w:type="dxa"/>
          <w:right w:w="0" w:type="dxa"/>
        </w:tblCellMar>
      </w:tblPr>
      <w:tblGrid>
        <w:gridCol w:w="14402"/>
      </w:tblGrid>
      <w:tr>
        <w:tblPrEx>
          <w:tblCellMar>
            <w:top w:w="0" w:type="dxa"/>
            <w:left w:w="0" w:type="dxa"/>
            <w:bottom w:w="0" w:type="dxa"/>
            <w:right w:w="0" w:type="dxa"/>
          </w:tblCellMar>
        </w:tblPrEx>
        <w:trPr>
          <w:trHeight w:val="6272" w:hRule="atLeast"/>
          <w:jc w:val="center"/>
        </w:trPr>
        <w:tc>
          <w:tcPr>
            <w:tcW w:w="14402" w:type="dxa"/>
            <w:tcBorders>
              <w:top w:val="nil"/>
              <w:left w:val="nil"/>
              <w:bottom w:val="nil"/>
              <w:right w:val="nil"/>
            </w:tcBorders>
            <w:shd w:val="clear" w:color="auto" w:fill="auto"/>
            <w:tcMar>
              <w:top w:w="15" w:type="dxa"/>
              <w:left w:w="15" w:type="dxa"/>
              <w:bottom w:w="0" w:type="dxa"/>
              <w:right w:w="15" w:type="dxa"/>
            </w:tcMar>
            <w:vAlign w:val="center"/>
          </w:tcPr>
          <w:tbl>
            <w:tblPr>
              <w:tblStyle w:val="8"/>
              <w:tblW w:w="1379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
              <w:gridCol w:w="4329"/>
              <w:gridCol w:w="830"/>
              <w:gridCol w:w="1804"/>
              <w:gridCol w:w="3929"/>
              <w:gridCol w:w="942"/>
              <w:gridCol w:w="1949"/>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642" w:hRule="atLeast"/>
              </w:trPr>
              <w:tc>
                <w:tcPr>
                  <w:tcW w:w="1379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14" w:hRule="atLeast"/>
              </w:trPr>
              <w:tc>
                <w:tcPr>
                  <w:tcW w:w="4329"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8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6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314" w:hRule="atLeast"/>
              </w:trPr>
              <w:tc>
                <w:tcPr>
                  <w:tcW w:w="515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18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03"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69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20"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42"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63"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14,943.53</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13,726.33</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63"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63"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14.99</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1,653.29</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679.47</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63"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63"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14,958.52</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16,065.09</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2,096.72</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990.14</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392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347" w:hRule="atLeast"/>
              </w:trPr>
              <w:tc>
                <w:tcPr>
                  <w:tcW w:w="4333"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17,055.24</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17,055.24</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347" w:hRule="atLeast"/>
              </w:trPr>
              <w:tc>
                <w:tcPr>
                  <w:tcW w:w="1379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321" w:hRule="atLeast"/>
              </w:trPr>
              <w:tc>
                <w:tcPr>
                  <w:tcW w:w="1379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321" w:hRule="atLeast"/>
              </w:trPr>
              <w:tc>
                <w:tcPr>
                  <w:tcW w:w="1379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3.本表数据来源于部门决算报表Z01收入支出决算总表。</w:t>
                  </w:r>
                </w:p>
              </w:tc>
            </w:tr>
          </w:tbl>
          <w:p>
            <w:pPr>
              <w:jc w:val="both"/>
              <w:rPr>
                <w:rFonts w:hint="eastAsia" w:ascii="方正小标宋简体" w:hAnsi="方正小标宋简体" w:eastAsia="方正小标宋简体" w:cs="方正小标宋简体"/>
                <w:color w:val="000000"/>
                <w:sz w:val="36"/>
                <w:szCs w:val="36"/>
              </w:rPr>
            </w:pPr>
          </w:p>
        </w:tc>
      </w:tr>
    </w:tbl>
    <w:p>
      <w:pPr>
        <w:widowControl/>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kern w:val="0"/>
          <w:sz w:val="21"/>
          <w:szCs w:val="21"/>
        </w:rPr>
        <w:br w:type="page"/>
      </w:r>
    </w:p>
    <w:tbl>
      <w:tblPr>
        <w:tblStyle w:val="8"/>
        <w:tblW w:w="13740"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3070"/>
        <w:gridCol w:w="1550"/>
        <w:gridCol w:w="1425"/>
        <w:gridCol w:w="1215"/>
        <w:gridCol w:w="1245"/>
        <w:gridCol w:w="1305"/>
        <w:gridCol w:w="135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4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0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0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75"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15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25"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1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07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7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7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7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14,958.52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14,943.53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12,624.76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12,609.77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2.78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2.78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2.78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2.78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50.00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50.00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2011405</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知识产权战略和规划</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原产地地理标志管理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10.00 </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12,554.88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12,539.89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4,169.73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4,169.73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2,109.67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2,109.67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653.42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653.42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107.41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107.41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245.95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245.95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216.36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216.36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2013813</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2013814</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化妆品事务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6.44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6.44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2013816</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119.13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119.13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1,257.79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1,257.79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3,668.80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3,653.81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17.10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17.10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17.10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17.10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法制建设</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1,653.29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1,653.29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1,650.96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1,650.96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1,397.89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1,397.89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233.52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233.52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14.47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14.47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2.33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2.33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2.33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2.33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679.47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679.47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auto"/>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679.19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679.19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1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30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4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4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w:t>
            </w:r>
            <w:r>
              <w:rPr>
                <w:rFonts w:hint="eastAsia" w:ascii="宋体" w:hAnsi="宋体" w:eastAsia="宋体" w:cs="宋体"/>
                <w:i w:val="0"/>
                <w:iCs w:val="0"/>
                <w:color w:val="000000"/>
                <w:kern w:val="0"/>
                <w:sz w:val="21"/>
                <w:szCs w:val="21"/>
                <w:u w:val="none"/>
                <w:lang w:val="en-US" w:eastAsia="zh-CN" w:bidi="ar"/>
              </w:rPr>
              <w:t>.本表反映部门本年度取得的各项收入情况，细化公开到功能分类项级科目。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4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w:t>
            </w:r>
            <w:r>
              <w:rPr>
                <w:rFonts w:hint="eastAsia" w:ascii="宋体" w:hAnsi="宋体" w:eastAsia="宋体" w:cs="宋体"/>
                <w:i w:val="0"/>
                <w:iCs w:val="0"/>
                <w:color w:val="000000"/>
                <w:kern w:val="0"/>
                <w:sz w:val="21"/>
                <w:szCs w:val="21"/>
                <w:u w:val="none"/>
                <w:lang w:val="en-US" w:eastAsia="zh-CN" w:bidi="ar"/>
              </w:rPr>
              <w:t>.本表数据来源于部门决算报表Z03收入决算表</w:t>
            </w:r>
          </w:p>
        </w:tc>
      </w:tr>
    </w:tbl>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p>
      <w:pPr>
        <w:widowControl/>
        <w:jc w:val="left"/>
        <w:rPr>
          <w:rFonts w:ascii="Times New Roman" w:hAnsi="Times New Roman" w:eastAsia="黑体" w:cs="Times New Roman"/>
          <w:bCs/>
          <w:kern w:val="0"/>
          <w:sz w:val="21"/>
          <w:szCs w:val="21"/>
        </w:rPr>
      </w:pPr>
    </w:p>
    <w:tbl>
      <w:tblPr>
        <w:tblStyle w:val="8"/>
        <w:tblW w:w="14100" w:type="dxa"/>
        <w:tblInd w:w="6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3870"/>
        <w:gridCol w:w="2010"/>
        <w:gridCol w:w="1785"/>
        <w:gridCol w:w="1950"/>
        <w:gridCol w:w="930"/>
        <w:gridCol w:w="121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00" w:type="dxa"/>
            <w:gridSpan w:val="8"/>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29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8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65"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170"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17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65"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3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1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87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7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7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6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6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16,065.09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10,640.93 </w:t>
            </w: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5,424.16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b/>
                <w:bCs/>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b/>
                <w:bCs/>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13,726.33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8,308.17 </w:t>
            </w: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5,418.16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2011405</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知识产权战略和规划</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原产地地理标志管理</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2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13,656.45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8,308.17 </w:t>
            </w: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5,348.28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4,169.73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4,169.73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2,109.67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2,109.67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864.92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864.92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136.84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136.84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261.33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261.33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321.99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321.99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2013813</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92.84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92.84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2013814</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化妆品事务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60.89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60.89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2013816</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152.30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24.53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127.77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1,257.79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1,021.16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236.63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4,228.15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983.08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3,245.07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法制建设</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178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1,653.29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1,653.29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1,650.96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1,650.96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1,397.89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1,397.89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233.52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233.52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5.08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5.08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14.47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14.47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679.47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679.47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17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9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3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19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93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21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00" w:type="dxa"/>
            <w:gridSpan w:val="8"/>
            <w:tcBorders>
              <w:top w:val="nil"/>
              <w:left w:val="nil"/>
              <w:bottom w:val="nil"/>
              <w:right w:val="nil"/>
            </w:tcBorders>
            <w:shd w:val="clear" w:color="auto" w:fill="auto"/>
            <w:noWrap/>
            <w:vAlign w:val="bottom"/>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注：1.本表反映部门本年度各项支出情况，细化公开到功能分类项级科目。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100" w:type="dxa"/>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2.本表数据来源于部门决算报表Z04支出决算表。</w:t>
            </w:r>
          </w:p>
        </w:tc>
      </w:tr>
    </w:tbl>
    <w:p>
      <w:pPr>
        <w:widowControl/>
        <w:ind w:left="93"/>
        <w:jc w:val="center"/>
        <w:rPr>
          <w:rFonts w:hint="eastAsia" w:ascii="仿宋_GB2312" w:hAnsi="仿宋_GB2312" w:eastAsia="仿宋_GB2312" w:cs="仿宋_GB2312"/>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8"/>
        <w:tblW w:w="13531" w:type="dxa"/>
        <w:tblInd w:w="1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45"/>
        <w:gridCol w:w="780"/>
        <w:gridCol w:w="1425"/>
        <w:gridCol w:w="2925"/>
        <w:gridCol w:w="825"/>
        <w:gridCol w:w="1305"/>
        <w:gridCol w:w="1155"/>
        <w:gridCol w:w="967"/>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531"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4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78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9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250"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29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26"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281"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45"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2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0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45"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14,,943.53</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13,544.65</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13,544.65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Times New Roman" w:hAnsi="Times New Roman" w:cs="Times New Roman" w:eastAsiaTheme="minorEastAsia"/>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1,653.29</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1,653.29</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679.47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679.47</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14,,943.53</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15,883.41</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15,883.41</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1,072.54</w:t>
            </w: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132.66</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132.66</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1,072.54</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92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92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16,016.07</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9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16,016.07</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16,016.07</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0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31"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531"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2.本表数据来源于部门决算报表Z01_1财政拨款收入支出决算总表。</w:t>
            </w:r>
          </w:p>
        </w:tc>
      </w:tr>
    </w:tbl>
    <w:p>
      <w:pPr>
        <w:widowControl/>
        <w:ind w:left="93"/>
        <w:jc w:val="center"/>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p>
      <w:pPr>
        <w:pStyle w:val="2"/>
        <w:rPr>
          <w:rFonts w:ascii="Times New Roman" w:hAnsi="Times New Roman" w:eastAsia="方正小标宋_GBK" w:cs="Times New Roman"/>
          <w:color w:val="000000"/>
          <w:kern w:val="0"/>
          <w:sz w:val="36"/>
          <w:szCs w:val="21"/>
        </w:rPr>
      </w:pPr>
    </w:p>
    <w:tbl>
      <w:tblPr>
        <w:tblStyle w:val="8"/>
        <w:tblW w:w="13485" w:type="dxa"/>
        <w:tblInd w:w="1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0"/>
        <w:gridCol w:w="3735"/>
        <w:gridCol w:w="2850"/>
        <w:gridCol w:w="259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85"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2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73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8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35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28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8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3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3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3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5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35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15,883.41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10,640.93 </w:t>
            </w: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val="0"/>
                <w:bCs w:val="0"/>
                <w:i w:val="0"/>
                <w:iCs w:val="0"/>
                <w:color w:val="000000"/>
                <w:sz w:val="22"/>
                <w:szCs w:val="22"/>
                <w:u w:val="none"/>
              </w:rPr>
            </w:pPr>
            <w:r>
              <w:rPr>
                <w:rFonts w:hint="default" w:ascii="Times New Roman" w:hAnsi="Times New Roman" w:eastAsia="宋体" w:cs="Times New Roman"/>
                <w:b w:val="0"/>
                <w:bCs w:val="0"/>
                <w:i w:val="0"/>
                <w:iCs w:val="0"/>
                <w:color w:val="000000"/>
                <w:kern w:val="0"/>
                <w:sz w:val="22"/>
                <w:szCs w:val="22"/>
                <w:u w:val="none"/>
                <w:lang w:val="en-US" w:eastAsia="zh-CN" w:bidi="ar"/>
              </w:rPr>
              <w:t xml:space="preserve">5,242.48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13,544.65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8,308.17 </w:t>
            </w: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5,236.48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2.78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2.78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2011405</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知识产权战略和规划</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2011411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原产地地理标志管理</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13,474.77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8,308.17 </w:t>
            </w: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5,166.60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4,169.73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4,169.73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2,109.67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2,109.67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2013804</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市场主体管理</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864.92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864.92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2013805</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市场秩序执法</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136.84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2013810</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质量基础</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261.33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2013812</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药品事务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321.99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2013813</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医疗器械事务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92.84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2013814</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化妆品事务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60.89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2013816</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食品安全监管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152.30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24.53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2013850</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1,257.79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1,021.16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4,046.47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983.08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3,063.39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法制建设</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1,653.29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1,653.29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1,650.96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1,650.96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1,397.89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1,397.89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233.52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233.52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5.08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5.08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14.47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14.47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残疾人事业</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2.33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2081199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2.33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679.47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679.47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679.19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679.19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679.19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679.19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2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3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28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0.28 </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0.28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85" w:type="dxa"/>
            <w:gridSpan w:val="5"/>
            <w:tcBorders>
              <w:top w:val="nil"/>
              <w:left w:val="nil"/>
              <w:bottom w:val="nil"/>
              <w:right w:val="nil"/>
            </w:tcBorders>
            <w:shd w:val="clear" w:color="auto" w:fill="auto"/>
            <w:noWrap/>
            <w:vAlign w:val="bottom"/>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注：1.本表反映部门本年度一般公共预算财政拨款支出情况，细化公开到功能分类项级科目。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85"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2.本表数据来源于部门决算报表Z07一般公共预算财政拨款收入支出决算表。</w:t>
            </w:r>
          </w:p>
        </w:tc>
      </w:tr>
    </w:tbl>
    <w:p>
      <w:pPr>
        <w:widowControl/>
        <w:ind w:left="93"/>
        <w:jc w:val="center"/>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p>
      <w:pPr>
        <w:widowControl/>
        <w:jc w:val="left"/>
        <w:rPr>
          <w:rFonts w:hint="eastAsia" w:ascii="宋体" w:hAnsi="宋体" w:eastAsia="宋体" w:cs="宋体"/>
          <w:kern w:val="0"/>
          <w:sz w:val="24"/>
          <w:szCs w:val="24"/>
          <w:lang w:val="en-US" w:eastAsia="zh-CN"/>
        </w:rPr>
      </w:pPr>
      <w:bookmarkStart w:id="0" w:name="RANGE!A1:F16"/>
    </w:p>
    <w:p>
      <w:pPr>
        <w:widowControl/>
        <w:jc w:val="left"/>
        <w:rPr>
          <w:rFonts w:hint="eastAsia" w:ascii="宋体" w:hAnsi="宋体" w:eastAsia="宋体" w:cs="宋体"/>
          <w:kern w:val="0"/>
          <w:sz w:val="24"/>
          <w:szCs w:val="24"/>
          <w:lang w:val="en-US" w:eastAsia="zh-CN"/>
        </w:rPr>
        <w:sectPr>
          <w:pgSz w:w="16838" w:h="11906" w:orient="landscape"/>
          <w:pgMar w:top="1134" w:right="720" w:bottom="720" w:left="720" w:header="851" w:footer="567" w:gutter="0"/>
          <w:cols w:space="0" w:num="1"/>
          <w:rtlGutter w:val="0"/>
          <w:docGrid w:type="lines" w:linePitch="315" w:charSpace="0"/>
        </w:sectPr>
      </w:pPr>
    </w:p>
    <w:bookmarkEnd w:id="0"/>
    <w:p>
      <w:pPr>
        <w:widowControl/>
        <w:jc w:val="left"/>
        <w:rPr>
          <w:rFonts w:hint="eastAsia" w:ascii="仿宋_GB2312" w:hAnsi="仿宋_GB2312" w:eastAsia="仿宋_GB2312" w:cs="仿宋_GB2312"/>
          <w:bCs/>
          <w:kern w:val="0"/>
          <w:szCs w:val="21"/>
        </w:rPr>
      </w:pPr>
    </w:p>
    <w:tbl>
      <w:tblPr>
        <w:tblStyle w:val="8"/>
        <w:tblW w:w="13470" w:type="dxa"/>
        <w:tblInd w:w="1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520"/>
        <w:gridCol w:w="1035"/>
        <w:gridCol w:w="855"/>
        <w:gridCol w:w="2355"/>
        <w:gridCol w:w="1215"/>
        <w:gridCol w:w="780"/>
        <w:gridCol w:w="264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7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5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8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3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103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8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105"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2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3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6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7,377.83</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1,439.99</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1,729.87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57.00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792.25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29.07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3,077.34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0.08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273.43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4.70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456.05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71.48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14.47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19.30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214.82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0.80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78.32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25.89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32.83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688.97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因公出国（境）费用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45.29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104.74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0.42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地上附着物和青苗补偿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1,798.29</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0.88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22.61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0.99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1,524.89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3.64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2.47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1.51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107.95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84.89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7.49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12.47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140.10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118.70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208.16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74.77 </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262.69 </w:t>
            </w:r>
          </w:p>
        </w:tc>
        <w:tc>
          <w:tcPr>
            <w:tcW w:w="78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15.14 </w:t>
            </w: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0.24 </w:t>
            </w:r>
          </w:p>
        </w:tc>
        <w:tc>
          <w:tcPr>
            <w:tcW w:w="78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52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3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309.40 </w:t>
            </w:r>
          </w:p>
        </w:tc>
        <w:tc>
          <w:tcPr>
            <w:tcW w:w="78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4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default" w:ascii="Times New Roman" w:hAnsi="Times New Roman"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3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9,176.12</w:t>
            </w:r>
          </w:p>
        </w:tc>
        <w:tc>
          <w:tcPr>
            <w:tcW w:w="7845"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70" w:type="dxa"/>
            <w:gridSpan w:val="9"/>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注：1.本表反映部门本年度一般公共预算财政拨款基本支出明细情况。2.本表数据来源于部门决算报表Z08_1一般公共预算财政拨款基本支出决算表</w:t>
            </w:r>
          </w:p>
        </w:tc>
      </w:tr>
    </w:tbl>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p>
      <w:pPr>
        <w:widowControl/>
        <w:jc w:val="center"/>
        <w:rPr>
          <w:rFonts w:hint="eastAsia" w:ascii="仿宋_GB2312" w:hAnsi="仿宋_GB2312" w:eastAsia="仿宋_GB2312" w:cs="仿宋_GB2312"/>
          <w:color w:val="000000"/>
          <w:kern w:val="0"/>
          <w:sz w:val="36"/>
          <w:szCs w:val="36"/>
        </w:rPr>
      </w:pPr>
    </w:p>
    <w:tbl>
      <w:tblPr>
        <w:tblStyle w:val="8"/>
        <w:tblW w:w="13700" w:type="dxa"/>
        <w:tblInd w:w="10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1"/>
        <w:gridCol w:w="1398"/>
        <w:gridCol w:w="1126"/>
        <w:gridCol w:w="1350"/>
        <w:gridCol w:w="1080"/>
        <w:gridCol w:w="1155"/>
        <w:gridCol w:w="1072"/>
        <w:gridCol w:w="1104"/>
        <w:gridCol w:w="839"/>
        <w:gridCol w:w="1050"/>
        <w:gridCol w:w="855"/>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370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361"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39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1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235"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108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1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7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23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7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74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136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169.50</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125.50</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80.50</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45.00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44.00</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158.61</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cs="Times New Roman"/>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136.74</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58.92</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77.82</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370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注：1.本表反映部门本年度“三公”经费支出预决算情况。其中，预算数为“三公”经费全年预算数，反映按规定程序调整后的预算数； 决算数是包括当年一般公共预算财政拨款和以前年度结转资金安排的实际支出。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3700" w:type="dxa"/>
            <w:gridSpan w:val="1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2.本表数据来源于部门决算报表F03机构运行信息表。</w:t>
            </w:r>
          </w:p>
        </w:tc>
      </w:tr>
    </w:tbl>
    <w:p>
      <w:pPr>
        <w:autoSpaceDE w:val="0"/>
        <w:autoSpaceDN w:val="0"/>
        <w:adjustRightInd w:val="0"/>
        <w:jc w:val="left"/>
        <w:rPr>
          <w:rFonts w:hint="eastAsia" w:asciiTheme="minorEastAsia" w:hAnsiTheme="minorEastAsia" w:eastAsiaTheme="minorEastAsia" w:cstheme="minorEastAsia"/>
          <w:kern w:val="0"/>
          <w:sz w:val="24"/>
          <w:szCs w:val="24"/>
        </w:rPr>
      </w:pPr>
    </w:p>
    <w:p>
      <w:pPr>
        <w:widowControl/>
        <w:jc w:val="center"/>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p>
      <w:pPr>
        <w:widowControl/>
        <w:jc w:val="both"/>
        <w:rPr>
          <w:rFonts w:hint="eastAsia" w:asciiTheme="minorEastAsia" w:hAnsiTheme="minorEastAsia" w:eastAsiaTheme="minorEastAsia" w:cstheme="minorEastAsia"/>
          <w:kern w:val="0"/>
          <w:sz w:val="36"/>
          <w:szCs w:val="36"/>
        </w:rPr>
      </w:pPr>
    </w:p>
    <w:tbl>
      <w:tblPr>
        <w:tblStyle w:val="8"/>
        <w:tblW w:w="13594" w:type="dxa"/>
        <w:tblInd w:w="1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
        <w:gridCol w:w="1577"/>
        <w:gridCol w:w="932"/>
        <w:gridCol w:w="557"/>
        <w:gridCol w:w="2675"/>
        <w:gridCol w:w="289"/>
        <w:gridCol w:w="1962"/>
        <w:gridCol w:w="77"/>
        <w:gridCol w:w="880"/>
        <w:gridCol w:w="77"/>
        <w:gridCol w:w="880"/>
        <w:gridCol w:w="77"/>
        <w:gridCol w:w="880"/>
        <w:gridCol w:w="77"/>
        <w:gridCol w:w="880"/>
        <w:gridCol w:w="77"/>
        <w:gridCol w:w="1386"/>
        <w:gridCol w:w="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607" w:hRule="atLeast"/>
        </w:trPr>
        <w:tc>
          <w:tcPr>
            <w:tcW w:w="13519" w:type="dxa"/>
            <w:gridSpan w:val="1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57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21"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039"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1"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04" w:hRule="atLeast"/>
        </w:trPr>
        <w:tc>
          <w:tcPr>
            <w:tcW w:w="5977"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2251"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57"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63"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3" w:hRule="atLeast"/>
        </w:trPr>
        <w:tc>
          <w:tcPr>
            <w:tcW w:w="597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51"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57"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871"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463"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2" w:hRule="atLeast"/>
        </w:trPr>
        <w:tc>
          <w:tcPr>
            <w:tcW w:w="3302" w:type="dxa"/>
            <w:gridSpan w:val="4"/>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675"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5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57"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63"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2" w:hRule="atLeast"/>
        </w:trPr>
        <w:tc>
          <w:tcPr>
            <w:tcW w:w="3302"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2" w:hRule="atLeast"/>
        </w:trPr>
        <w:tc>
          <w:tcPr>
            <w:tcW w:w="3302" w:type="dxa"/>
            <w:gridSpan w:val="4"/>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75"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7"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3"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3" w:hRule="atLeast"/>
        </w:trPr>
        <w:tc>
          <w:tcPr>
            <w:tcW w:w="597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5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7"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5" w:type="dxa"/>
          <w:trHeight w:val="313" w:hRule="atLeast"/>
        </w:trPr>
        <w:tc>
          <w:tcPr>
            <w:tcW w:w="5977" w:type="dxa"/>
            <w:gridSpan w:val="5"/>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合计</w:t>
            </w: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13519" w:type="dxa"/>
            <w:gridSpan w:val="17"/>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本单位</w:t>
            </w:r>
            <w:r>
              <w:rPr>
                <w:rFonts w:hint="eastAsia" w:ascii="宋体" w:hAnsi="宋体" w:eastAsia="宋体" w:cs="宋体"/>
                <w:i w:val="0"/>
                <w:iCs w:val="0"/>
                <w:color w:val="000000"/>
                <w:sz w:val="22"/>
                <w:szCs w:val="22"/>
                <w:u w:val="none"/>
              </w:rPr>
              <w:t>没有政府性基金收入，也没有使用政府性基金安排的支出，故本表无数据。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3302"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3302"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3302"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3302"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3" w:hRule="atLeast"/>
        </w:trPr>
        <w:tc>
          <w:tcPr>
            <w:tcW w:w="3302" w:type="dxa"/>
            <w:gridSpan w:val="4"/>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251"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57"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63"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28" w:hRule="atLeast"/>
        </w:trPr>
        <w:tc>
          <w:tcPr>
            <w:tcW w:w="13519" w:type="dxa"/>
            <w:gridSpan w:val="1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注：1.本表反映部门本年度政府性基金预算财政拨款收入、支出及结转和结余情况，细化公开到功能分类项级科目。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5" w:type="dxa"/>
          <w:trHeight w:val="319" w:hRule="atLeast"/>
        </w:trPr>
        <w:tc>
          <w:tcPr>
            <w:tcW w:w="13519" w:type="dxa"/>
            <w:gridSpan w:val="1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2.本表数据来源于部门决算报表Z09政府性基金预算财政拨款收入支出决算表。</w:t>
            </w:r>
          </w:p>
        </w:tc>
      </w:tr>
    </w:tbl>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p>
      <w:pPr>
        <w:widowControl/>
        <w:jc w:val="center"/>
        <w:rPr>
          <w:rFonts w:hint="eastAsia" w:asciiTheme="minorEastAsia" w:hAnsiTheme="minorEastAsia" w:eastAsiaTheme="minorEastAsia" w:cstheme="minorEastAsia"/>
          <w:kern w:val="0"/>
          <w:sz w:val="36"/>
          <w:szCs w:val="36"/>
        </w:rPr>
      </w:pPr>
    </w:p>
    <w:tbl>
      <w:tblPr>
        <w:tblStyle w:val="8"/>
        <w:tblW w:w="13500" w:type="dxa"/>
        <w:tblInd w:w="10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5"/>
        <w:gridCol w:w="540"/>
        <w:gridCol w:w="465"/>
        <w:gridCol w:w="2580"/>
        <w:gridCol w:w="2550"/>
        <w:gridCol w:w="259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3500" w:type="dxa"/>
            <w:gridSpan w:val="7"/>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355"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54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4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58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5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59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415"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5940" w:type="dxa"/>
            <w:gridSpan w:val="4"/>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部门：常德市市场监督管理局</w:t>
            </w:r>
          </w:p>
        </w:tc>
        <w:tc>
          <w:tcPr>
            <w:tcW w:w="255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59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415"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94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60"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3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58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5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9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1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255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000000"/>
                <w:sz w:val="22"/>
                <w:szCs w:val="22"/>
                <w:u w:val="none"/>
              </w:rPr>
            </w:pPr>
          </w:p>
        </w:tc>
        <w:tc>
          <w:tcPr>
            <w:tcW w:w="255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59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940"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550" w:type="dxa"/>
            <w:tcBorders>
              <w:top w:val="nil"/>
              <w:left w:val="nil"/>
              <w:bottom w:val="nil"/>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95" w:type="dxa"/>
            <w:tcBorders>
              <w:top w:val="nil"/>
              <w:left w:val="nil"/>
              <w:bottom w:val="nil"/>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5" w:type="dxa"/>
            <w:tcBorders>
              <w:top w:val="nil"/>
              <w:left w:val="nil"/>
              <w:bottom w:val="nil"/>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940"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500" w:type="dxa"/>
            <w:gridSpan w:val="7"/>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本单位没有使用国有资本经营预算财政拨款支出安排的支出，故本表无数据。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8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5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5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500"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注：1.本表反映部门本年度国有资本经营预算财政拨款支出情况，细化公开到功能分类项级科目。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2.本表数据来源于部门决算报表Z12国有资本经营预算财政拨款支出决算表。</w:t>
            </w:r>
          </w:p>
        </w:tc>
      </w:tr>
    </w:tbl>
    <w:p>
      <w:pPr>
        <w:widowControl/>
        <w:jc w:val="center"/>
        <w:rPr>
          <w:rFonts w:hint="eastAsia" w:asciiTheme="minorEastAsia" w:hAnsiTheme="minorEastAsia" w:eastAsiaTheme="minorEastAsia" w:cstheme="minorEastAsia"/>
          <w:kern w:val="0"/>
          <w:sz w:val="36"/>
          <w:szCs w:val="36"/>
        </w:rPr>
      </w:pPr>
    </w:p>
    <w:p>
      <w:pPr>
        <w:widowControl/>
        <w:ind w:firstLine="480"/>
        <w:jc w:val="left"/>
        <w:rPr>
          <w:rFonts w:hint="eastAsia" w:ascii="仿宋_GB2312" w:hAnsi="仿宋_GB2312" w:eastAsia="仿宋_GB2312" w:cs="仿宋_GB2312"/>
          <w:kern w:val="0"/>
          <w:sz w:val="24"/>
          <w:szCs w:val="24"/>
          <w:lang w:val="en-US" w:eastAsia="zh-CN"/>
        </w:rPr>
      </w:pPr>
    </w:p>
    <w:p>
      <w:pPr>
        <w:widowControl/>
        <w:ind w:firstLine="480"/>
        <w:jc w:val="left"/>
        <w:rPr>
          <w:sz w:val="72"/>
          <w:szCs w:val="72"/>
        </w:rPr>
        <w:sectPr>
          <w:pgSz w:w="16838" w:h="11906" w:orient="landscape"/>
          <w:pgMar w:top="680" w:right="720" w:bottom="567" w:left="720" w:header="851" w:footer="567" w:gutter="0"/>
          <w:cols w:space="0" w:num="1"/>
          <w:rtlGutter w:val="0"/>
          <w:docGrid w:type="lines" w:linePitch="324" w:charSpace="0"/>
        </w:sectPr>
      </w:pPr>
      <w:r>
        <w:rPr>
          <w:rFonts w:hint="eastAsia" w:ascii="仿宋_GB2312" w:hAnsi="仿宋_GB2312" w:eastAsia="仿宋_GB2312" w:cs="仿宋_GB2312"/>
          <w:kern w:val="0"/>
          <w:sz w:val="24"/>
          <w:szCs w:val="24"/>
          <w:lang w:val="en-US" w:eastAsia="zh-CN"/>
        </w:rPr>
        <w:t xml:space="preserve">  </w:t>
      </w:r>
    </w:p>
    <w:p>
      <w:pPr>
        <w:pStyle w:val="12"/>
        <w:rPr>
          <w:sz w:val="72"/>
          <w:szCs w:val="72"/>
        </w:rPr>
      </w:pPr>
    </w:p>
    <w:p>
      <w:pPr>
        <w:pStyle w:val="12"/>
        <w:rPr>
          <w:sz w:val="72"/>
          <w:szCs w:val="72"/>
        </w:rPr>
      </w:pPr>
    </w:p>
    <w:p>
      <w:pPr>
        <w:pStyle w:val="12"/>
        <w:jc w:val="both"/>
        <w:rPr>
          <w:sz w:val="72"/>
          <w:szCs w:val="72"/>
        </w:rPr>
      </w:pPr>
    </w:p>
    <w:p>
      <w:pPr>
        <w:pStyle w:val="12"/>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pStyle w:val="12"/>
        <w:jc w:val="center"/>
        <w:rPr>
          <w:rFonts w:hint="eastAsia" w:ascii="方正小标宋简体" w:hAnsi="方正小标宋简体" w:eastAsia="方正小标宋简体" w:cs="方正小标宋简体"/>
          <w:sz w:val="70"/>
          <w:szCs w:val="70"/>
        </w:rPr>
      </w:pPr>
    </w:p>
    <w:p>
      <w:pPr>
        <w:pStyle w:val="12"/>
        <w:jc w:val="center"/>
        <w:rPr>
          <w:rFonts w:hint="eastAsia"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70"/>
          <w:szCs w:val="70"/>
        </w:rPr>
        <w:t>2021年度部门决算情况说明</w:t>
      </w:r>
    </w:p>
    <w:p>
      <w:pPr>
        <w:widowControl/>
        <w:jc w:val="left"/>
        <w:rPr>
          <w:rFonts w:ascii="黑体" w:eastAsia="黑体" w:cs="黑体"/>
          <w:color w:val="000000"/>
          <w:kern w:val="0"/>
          <w:sz w:val="70"/>
          <w:szCs w:val="70"/>
        </w:rPr>
      </w:pPr>
      <w:r>
        <w:rPr>
          <w:sz w:val="70"/>
          <w:szCs w:val="70"/>
        </w:rPr>
        <w:br w:type="page"/>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Theme="minorEastAsia" w:hAnsiTheme="minorEastAsia" w:eastAsiaTheme="minorEastAsia"/>
          <w:sz w:val="32"/>
          <w:szCs w:val="32"/>
          <w:lang w:val="en-US" w:eastAsia="zh-CN"/>
        </w:rPr>
        <w:t xml:space="preserve">   </w:t>
      </w: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17055.24</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20084.21万元</w:t>
      </w:r>
      <w:r>
        <w:rPr>
          <w:rFonts w:hint="eastAsia" w:ascii="仿宋_GB2312" w:hAnsi="仿宋_GB2312" w:eastAsia="仿宋_GB2312" w:cs="仿宋_GB2312"/>
          <w:sz w:val="32"/>
          <w:szCs w:val="32"/>
        </w:rPr>
        <w:t>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3028.97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15.08</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val="en-US" w:eastAsia="zh-CN"/>
        </w:rPr>
        <w:t>为上年度市财政部门追加国检中心建设支付工程款；二是本年度发放绩效考核上浮及新增模范机关奖励经费、综治奖、文明单位奖按调标后工资发放。</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2021年度支出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17055.24</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20084.21万元相比，减少3028.97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，主要是因为一是上年度支付国检中心基建款；二是本年度发放绩效考核上浮及新增模范机关奖励经费、综治奖、文明单位奖按调标后工资发放。</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二、收入决算情况说明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2021年度收入合计</w:t>
      </w:r>
      <w:r>
        <w:rPr>
          <w:rFonts w:hint="eastAsia" w:ascii="仿宋_GB2312" w:hAnsi="仿宋_GB2312" w:eastAsia="仿宋_GB2312" w:cs="仿宋_GB2312"/>
          <w:sz w:val="32"/>
          <w:szCs w:val="32"/>
          <w:lang w:val="en-US" w:eastAsia="zh-CN"/>
        </w:rPr>
        <w:t>14958.52</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14943.53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99.90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14.99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三、支出决算情况说明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i/>
          <w:color w:val="FF0000"/>
          <w:sz w:val="32"/>
          <w:szCs w:val="32"/>
        </w:rPr>
      </w:pPr>
      <w:r>
        <w:rPr>
          <w:rFonts w:hint="eastAsia" w:ascii="仿宋_GB2312" w:hAnsi="仿宋_GB2312" w:eastAsia="仿宋_GB2312" w:cs="仿宋_GB2312"/>
          <w:sz w:val="32"/>
          <w:szCs w:val="32"/>
        </w:rPr>
        <w:t>2021年度支出合计</w:t>
      </w:r>
      <w:r>
        <w:rPr>
          <w:rFonts w:hint="eastAsia" w:ascii="仿宋_GB2312" w:hAnsi="仿宋_GB2312" w:eastAsia="仿宋_GB2312" w:cs="仿宋_GB2312"/>
          <w:sz w:val="32"/>
          <w:szCs w:val="32"/>
          <w:lang w:val="en-US" w:eastAsia="zh-CN"/>
        </w:rPr>
        <w:t>16065.09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10640.93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66.24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5424.16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33.76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四、财政拨款收入支出决算总体情况说明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16016.07</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18722.39万元</w:t>
      </w:r>
      <w:r>
        <w:rPr>
          <w:rFonts w:hint="eastAsia" w:ascii="仿宋_GB2312" w:hAnsi="仿宋_GB2312" w:eastAsia="仿宋_GB2312" w:cs="仿宋_GB2312"/>
          <w:sz w:val="32"/>
          <w:szCs w:val="32"/>
        </w:rPr>
        <w:t>相比，减少</w:t>
      </w:r>
      <w:r>
        <w:rPr>
          <w:rFonts w:hint="eastAsia" w:ascii="仿宋_GB2312" w:hAnsi="仿宋_GB2312" w:eastAsia="仿宋_GB2312" w:cs="仿宋_GB2312"/>
          <w:sz w:val="32"/>
          <w:szCs w:val="32"/>
          <w:lang w:val="en-US" w:eastAsia="zh-CN"/>
        </w:rPr>
        <w:t>2706.32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14.45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财政拨款</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val="en-US" w:eastAsia="zh-CN"/>
        </w:rPr>
        <w:t>16016.07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（含财政拨款结转结余下年资金</w:t>
      </w:r>
      <w:r>
        <w:rPr>
          <w:rFonts w:hint="eastAsia" w:ascii="仿宋_GB2312" w:hAnsi="仿宋_GB2312" w:eastAsia="仿宋_GB2312" w:cs="仿宋_GB2312"/>
          <w:sz w:val="32"/>
          <w:szCs w:val="32"/>
          <w:highlight w:val="none"/>
          <w:lang w:val="en-US" w:eastAsia="zh-CN"/>
        </w:rPr>
        <w:t>132.66万元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18722.39万元</w:t>
      </w:r>
      <w:r>
        <w:rPr>
          <w:rFonts w:hint="eastAsia" w:ascii="仿宋_GB2312" w:hAnsi="仿宋_GB2312" w:eastAsia="仿宋_GB2312" w:cs="仿宋_GB2312"/>
          <w:sz w:val="32"/>
          <w:szCs w:val="32"/>
        </w:rPr>
        <w:t>相比，减少</w:t>
      </w:r>
      <w:r>
        <w:rPr>
          <w:rFonts w:hint="eastAsia" w:ascii="仿宋_GB2312" w:hAnsi="仿宋_GB2312" w:eastAsia="仿宋_GB2312" w:cs="仿宋_GB2312"/>
          <w:sz w:val="32"/>
          <w:szCs w:val="32"/>
          <w:lang w:val="en-US" w:eastAsia="zh-CN"/>
        </w:rPr>
        <w:t>2706.32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14.45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收入和支出减少的</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上年度市财政部门追加国检中心基建款；二是本年度发放绩效考核上浮及新增模范机关奖励经费、综治奖、文明单位奖按调标后工资发放。</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15883.41</w:t>
      </w:r>
      <w:r>
        <w:rPr>
          <w:rFonts w:hint="eastAsia" w:ascii="仿宋_GB2312" w:hAnsi="仿宋_GB2312" w:eastAsia="仿宋_GB2312" w:cs="仿宋_GB2312"/>
          <w:sz w:val="32"/>
          <w:szCs w:val="32"/>
        </w:rPr>
        <w:t>万元，占本年支出合计</w:t>
      </w:r>
      <w:r>
        <w:rPr>
          <w:rFonts w:hint="eastAsia" w:ascii="仿宋_GB2312" w:hAnsi="仿宋_GB2312" w:eastAsia="仿宋_GB2312" w:cs="仿宋_GB2312"/>
          <w:sz w:val="32"/>
          <w:szCs w:val="32"/>
          <w:lang w:val="en-US" w:eastAsia="zh-CN"/>
        </w:rPr>
        <w:t>16065.09万元</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98.87</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17621.08万元</w:t>
      </w:r>
      <w:r>
        <w:rPr>
          <w:rFonts w:hint="eastAsia" w:ascii="仿宋_GB2312" w:hAnsi="仿宋_GB2312" w:eastAsia="仿宋_GB2312" w:cs="仿宋_GB2312"/>
          <w:sz w:val="32"/>
          <w:szCs w:val="32"/>
        </w:rPr>
        <w:t>相比，财政拨款支出减少</w:t>
      </w:r>
      <w:r>
        <w:rPr>
          <w:rFonts w:hint="eastAsia" w:ascii="仿宋_GB2312" w:hAnsi="仿宋_GB2312" w:eastAsia="仿宋_GB2312" w:cs="仿宋_GB2312"/>
          <w:sz w:val="32"/>
          <w:szCs w:val="32"/>
          <w:lang w:val="en-US" w:eastAsia="zh-CN"/>
        </w:rPr>
        <w:t>1737.67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9.86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上年度市财政部门追加国检中心基建款；二是本年度发放绩效考核上浮及新增模范机关奖励经费、综治奖、文明单位奖按调标后工资发放。</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w:t>
      </w:r>
      <w:r>
        <w:rPr>
          <w:rFonts w:hint="eastAsia" w:ascii="仿宋_GB2312" w:hAnsi="仿宋_GB2312" w:eastAsia="仿宋_GB2312" w:cs="仿宋_GB2312"/>
          <w:sz w:val="32"/>
          <w:szCs w:val="32"/>
          <w:lang w:val="en-US" w:eastAsia="zh-CN"/>
        </w:rPr>
        <w:t>15883.41</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13544.65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85.2</w:t>
      </w:r>
      <w:r>
        <w:rPr>
          <w:rFonts w:hint="eastAsia" w:ascii="仿宋_GB2312" w:hAnsi="仿宋_GB2312" w:eastAsia="仿宋_GB2312" w:cs="仿宋_GB2312"/>
          <w:color w:val="0000FF"/>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1万元，占0.01%；</w:t>
      </w:r>
      <w:r>
        <w:rPr>
          <w:rFonts w:hint="eastAsia" w:ascii="仿宋_GB2312" w:hAnsi="仿宋_GB2312" w:eastAsia="仿宋_GB2312" w:cs="仿宋_GB2312"/>
          <w:sz w:val="32"/>
          <w:szCs w:val="32"/>
        </w:rPr>
        <w:t>教育（类）支出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科学技术支出</w:t>
      </w:r>
      <w:r>
        <w:rPr>
          <w:rFonts w:hint="eastAsia" w:ascii="仿宋_GB2312" w:hAnsi="仿宋_GB2312" w:eastAsia="仿宋_GB2312" w:cs="仿宋_GB2312"/>
          <w:sz w:val="32"/>
          <w:szCs w:val="32"/>
          <w:lang w:val="en-US" w:eastAsia="zh-CN"/>
        </w:rPr>
        <w:t>5万元，占0.03%；</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1653.29万元，占10.41%；住房保障支出679.47万元，占4.28%。</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2021年度财政拨款支出年初预算数为</w:t>
      </w:r>
      <w:r>
        <w:rPr>
          <w:rFonts w:hint="eastAsia" w:ascii="仿宋_GB2312" w:hAnsi="仿宋_GB2312" w:eastAsia="仿宋_GB2312" w:cs="仿宋_GB2312"/>
          <w:sz w:val="32"/>
          <w:szCs w:val="32"/>
          <w:highlight w:val="none"/>
          <w:lang w:val="en-US" w:eastAsia="zh-CN"/>
        </w:rPr>
        <w:t>11898.23</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15883.41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133.49</w:t>
      </w:r>
      <w:r>
        <w:rPr>
          <w:rFonts w:hint="eastAsia" w:ascii="仿宋_GB2312" w:hAnsi="仿宋_GB2312" w:eastAsia="仿宋_GB2312" w:cs="仿宋_GB2312"/>
          <w:sz w:val="32"/>
          <w:szCs w:val="32"/>
          <w:highlight w:val="none"/>
        </w:rPr>
        <w:t>%，其中：</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纪检监察事务11</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行政运行01</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市纪委拨入派驻纪检监察组工作经费支出。</w:t>
      </w:r>
    </w:p>
    <w:p>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知识产权事务14</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知识产权战略和规划05</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市财政部门配套奖励获得地理标志商标的常德米粉协会、常德粮食行业协会各</w:t>
      </w:r>
      <w:r>
        <w:rPr>
          <w:rFonts w:hint="eastAsia" w:ascii="仿宋_GB2312" w:hAnsi="仿宋_GB2312" w:eastAsia="仿宋_GB2312" w:cs="仿宋_GB2312"/>
          <w:sz w:val="32"/>
          <w:szCs w:val="32"/>
          <w:lang w:val="en-US" w:eastAsia="zh-CN"/>
        </w:rPr>
        <w:t>20万元</w:t>
      </w:r>
      <w:r>
        <w:rPr>
          <w:rFonts w:hint="eastAsia" w:ascii="仿宋_GB2312" w:hAnsi="仿宋_GB2312" w:eastAsia="仿宋_GB2312" w:cs="仿宋_GB2312"/>
          <w:sz w:val="32"/>
          <w:szCs w:val="32"/>
          <w:lang w:eastAsia="zh-CN"/>
        </w:rPr>
        <w:t>。</w:t>
      </w:r>
    </w:p>
    <w:p>
      <w:pPr>
        <w:pStyle w:val="12"/>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知识产权事务14</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原产地地理标志管理11</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省局奖励获得地理标志商标的常德米粉协会</w:t>
      </w:r>
      <w:r>
        <w:rPr>
          <w:rFonts w:hint="eastAsia" w:ascii="仿宋_GB2312" w:hAnsi="仿宋_GB2312" w:eastAsia="仿宋_GB2312" w:cs="仿宋_GB2312"/>
          <w:sz w:val="32"/>
          <w:szCs w:val="32"/>
          <w:lang w:val="en-US" w:eastAsia="zh-CN"/>
        </w:rPr>
        <w:t>5万元</w:t>
      </w:r>
      <w:r>
        <w:rPr>
          <w:rFonts w:hint="eastAsia" w:ascii="仿宋_GB2312" w:hAnsi="仿宋_GB2312" w:eastAsia="仿宋_GB2312" w:cs="仿宋_GB2312"/>
          <w:sz w:val="32"/>
          <w:szCs w:val="32"/>
          <w:lang w:eastAsia="zh-CN"/>
        </w:rPr>
        <w:t>、常德粮食行业协会各</w:t>
      </w:r>
      <w:r>
        <w:rPr>
          <w:rFonts w:hint="eastAsia" w:ascii="仿宋_GB2312" w:hAnsi="仿宋_GB2312" w:eastAsia="仿宋_GB2312" w:cs="仿宋_GB2312"/>
          <w:sz w:val="32"/>
          <w:szCs w:val="32"/>
          <w:lang w:val="en-US" w:eastAsia="zh-CN"/>
        </w:rPr>
        <w:t>5万元</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行政运行01</w:t>
      </w:r>
      <w:r>
        <w:rPr>
          <w:rFonts w:hint="eastAsia" w:ascii="仿宋_GB2312" w:hAnsi="仿宋_GB2312" w:eastAsia="仿宋_GB2312" w:cs="仿宋_GB2312"/>
          <w:sz w:val="32"/>
          <w:szCs w:val="32"/>
        </w:rPr>
        <w:t>（项）。</w:t>
      </w:r>
    </w:p>
    <w:p>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4964.25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4169.73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人员经费市财政部门拨款支付时改变了资金功能科目。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一般行政管理事务02</w:t>
      </w:r>
      <w:r>
        <w:rPr>
          <w:rFonts w:hint="eastAsia" w:ascii="仿宋_GB2312" w:hAnsi="仿宋_GB2312" w:eastAsia="仿宋_GB2312" w:cs="仿宋_GB2312"/>
          <w:sz w:val="32"/>
          <w:szCs w:val="32"/>
        </w:rPr>
        <w:t>（项）。</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2109.67</w:t>
      </w:r>
      <w:r>
        <w:rPr>
          <w:rFonts w:hint="eastAsia" w:ascii="仿宋_GB2312" w:hAnsi="仿宋_GB2312" w:eastAsia="仿宋_GB2312" w:cs="仿宋_GB2312"/>
          <w:sz w:val="32"/>
          <w:szCs w:val="32"/>
        </w:rPr>
        <w:t>万元，决算数大于年初预算数的主要原因是：人员经费市财政局拨款支付时改变了资金功能科目。</w:t>
      </w:r>
    </w:p>
    <w:p>
      <w:pPr>
        <w:pStyle w:val="12"/>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 xml:space="preserve"> 市场主体管理04</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w:t>
      </w:r>
    </w:p>
    <w:p>
      <w:pPr>
        <w:pStyle w:val="12"/>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664.17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864.92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130.23</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大</w:t>
      </w:r>
      <w:r>
        <w:rPr>
          <w:rFonts w:hint="eastAsia" w:ascii="仿宋_GB2312" w:hAnsi="仿宋_GB2312" w:eastAsia="仿宋_GB2312" w:cs="仿宋_GB2312"/>
          <w:sz w:val="32"/>
          <w:szCs w:val="32"/>
          <w:highlight w:val="none"/>
        </w:rPr>
        <w:t>于年初预算数的主要原因是：</w:t>
      </w:r>
      <w:r>
        <w:rPr>
          <w:rFonts w:hint="eastAsia" w:ascii="仿宋_GB2312" w:hAnsi="仿宋_GB2312" w:eastAsia="仿宋_GB2312" w:cs="仿宋_GB2312"/>
          <w:sz w:val="32"/>
          <w:szCs w:val="32"/>
          <w:highlight w:val="none"/>
          <w:lang w:eastAsia="zh-CN"/>
        </w:rPr>
        <w:t>一是动用上年结转结余资金；二是</w:t>
      </w:r>
      <w:r>
        <w:rPr>
          <w:rFonts w:hint="eastAsia" w:ascii="仿宋_GB2312" w:hAnsi="仿宋_GB2312" w:eastAsia="仿宋_GB2312" w:cs="仿宋_GB2312"/>
          <w:sz w:val="32"/>
          <w:szCs w:val="32"/>
          <w:highlight w:val="none"/>
        </w:rPr>
        <w:t>市财政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拨付工业产品抽查专项用于工业产品相关专项</w:t>
      </w:r>
      <w:r>
        <w:rPr>
          <w:rFonts w:hint="eastAsia" w:ascii="仿宋_GB2312" w:hAnsi="仿宋_GB2312" w:eastAsia="仿宋_GB2312" w:cs="仿宋_GB2312"/>
          <w:sz w:val="32"/>
          <w:szCs w:val="32"/>
          <w:highlight w:val="none"/>
          <w:lang w:eastAsia="zh-CN"/>
        </w:rPr>
        <w:t>资金。</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市场秩序执法05</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136.84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273.68</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市财政部门追加传销案件等办案经费。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质量基础10</w:t>
      </w:r>
      <w:r>
        <w:rPr>
          <w:rFonts w:hint="eastAsia" w:ascii="仿宋_GB2312" w:hAnsi="仿宋_GB2312" w:eastAsia="仿宋_GB2312" w:cs="仿宋_GB2312"/>
          <w:sz w:val="32"/>
          <w:szCs w:val="32"/>
        </w:rPr>
        <w:t>（项）。</w:t>
      </w:r>
    </w:p>
    <w:p>
      <w:pPr>
        <w:pStyle w:val="12"/>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261.33</w:t>
      </w:r>
      <w:r>
        <w:rPr>
          <w:rFonts w:hint="eastAsia" w:ascii="仿宋_GB2312" w:hAnsi="仿宋_GB2312" w:eastAsia="仿宋_GB2312" w:cs="仿宋_GB2312"/>
          <w:sz w:val="32"/>
          <w:szCs w:val="32"/>
        </w:rPr>
        <w:t>万元，完成年初预</w:t>
      </w:r>
      <w:r>
        <w:rPr>
          <w:rFonts w:hint="eastAsia" w:ascii="仿宋_GB2312" w:hAnsi="仿宋_GB2312" w:eastAsia="仿宋_GB2312" w:cs="仿宋_GB2312"/>
          <w:sz w:val="32"/>
          <w:szCs w:val="32"/>
          <w:highlight w:val="none"/>
        </w:rPr>
        <w:t>算的</w:t>
      </w:r>
      <w:r>
        <w:rPr>
          <w:rFonts w:hint="eastAsia" w:ascii="仿宋_GB2312" w:hAnsi="仿宋_GB2312" w:eastAsia="仿宋_GB2312" w:cs="仿宋_GB2312"/>
          <w:sz w:val="32"/>
          <w:szCs w:val="32"/>
          <w:highlight w:val="none"/>
          <w:lang w:val="en-US" w:eastAsia="zh-CN"/>
        </w:rPr>
        <w:t>78.95</w:t>
      </w:r>
      <w:r>
        <w:rPr>
          <w:rFonts w:hint="eastAsia" w:ascii="仿宋_GB2312" w:hAnsi="仿宋_GB2312" w:eastAsia="仿宋_GB2312" w:cs="仿宋_GB2312"/>
          <w:sz w:val="32"/>
          <w:szCs w:val="32"/>
          <w:highlight w:val="none"/>
        </w:rPr>
        <w:t>%，决算数小于年初预算数的主要原因</w:t>
      </w:r>
      <w:r>
        <w:rPr>
          <w:rFonts w:hint="eastAsia" w:ascii="仿宋_GB2312" w:hAnsi="仿宋_GB2312" w:eastAsia="仿宋_GB2312" w:cs="仿宋_GB2312"/>
          <w:sz w:val="32"/>
          <w:szCs w:val="32"/>
          <w:highlight w:val="none"/>
          <w:lang w:eastAsia="zh-CN"/>
        </w:rPr>
        <w:t>：一是</w:t>
      </w:r>
      <w:r>
        <w:rPr>
          <w:rFonts w:hint="eastAsia" w:ascii="仿宋_GB2312" w:hAnsi="仿宋_GB2312" w:eastAsia="仿宋_GB2312" w:cs="仿宋_GB2312"/>
          <w:sz w:val="32"/>
          <w:szCs w:val="32"/>
          <w:highlight w:val="none"/>
        </w:rPr>
        <w:t>国检中心运行维护经费</w:t>
      </w:r>
      <w:r>
        <w:rPr>
          <w:rFonts w:hint="eastAsia" w:ascii="仿宋_GB2312" w:hAnsi="仿宋_GB2312" w:eastAsia="仿宋_GB2312" w:cs="仿宋_GB2312"/>
          <w:sz w:val="32"/>
          <w:szCs w:val="32"/>
          <w:highlight w:val="none"/>
          <w:lang w:eastAsia="zh-CN"/>
        </w:rPr>
        <w:t>审核拨付时改变了资金功能科目；二是</w:t>
      </w:r>
      <w:r>
        <w:rPr>
          <w:rFonts w:hint="eastAsia" w:ascii="仿宋_GB2312" w:hAnsi="仿宋_GB2312" w:eastAsia="仿宋_GB2312" w:cs="仿宋_GB2312"/>
          <w:sz w:val="32"/>
          <w:szCs w:val="32"/>
          <w:highlight w:val="none"/>
        </w:rPr>
        <w:t>当年部分项目未执行完毕。</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 xml:space="preserve"> 药品事务12</w:t>
      </w:r>
      <w:r>
        <w:rPr>
          <w:rFonts w:hint="eastAsia" w:ascii="仿宋_GB2312" w:hAnsi="仿宋_GB2312" w:eastAsia="仿宋_GB2312" w:cs="仿宋_GB2312"/>
          <w:sz w:val="32"/>
          <w:szCs w:val="32"/>
        </w:rPr>
        <w:t>（项）。</w:t>
      </w:r>
    </w:p>
    <w:p>
      <w:pPr>
        <w:pStyle w:val="12"/>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321.99</w:t>
      </w:r>
      <w:r>
        <w:rPr>
          <w:rFonts w:hint="eastAsia" w:ascii="仿宋_GB2312" w:hAnsi="仿宋_GB2312" w:eastAsia="仿宋_GB2312" w:cs="仿宋_GB2312"/>
          <w:sz w:val="32"/>
          <w:szCs w:val="32"/>
        </w:rPr>
        <w:t>万元，决算数大于年初预算数的主要原因是：省局拨付药品专项资金用于药品</w:t>
      </w:r>
      <w:r>
        <w:rPr>
          <w:rFonts w:hint="eastAsia" w:ascii="仿宋_GB2312" w:hAnsi="仿宋_GB2312" w:eastAsia="仿宋_GB2312" w:cs="仿宋_GB2312"/>
          <w:sz w:val="32"/>
          <w:szCs w:val="32"/>
          <w:lang w:eastAsia="zh-CN"/>
        </w:rPr>
        <w:t>监管等方面</w:t>
      </w:r>
      <w:r>
        <w:rPr>
          <w:rFonts w:hint="eastAsia" w:ascii="仿宋_GB2312" w:hAnsi="仿宋_GB2312" w:eastAsia="仿宋_GB2312" w:cs="仿宋_GB2312"/>
          <w:sz w:val="32"/>
          <w:szCs w:val="32"/>
        </w:rPr>
        <w:t>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 xml:space="preserve"> 医疗器械事务13</w:t>
      </w:r>
      <w:r>
        <w:rPr>
          <w:rFonts w:hint="eastAsia" w:ascii="仿宋_GB2312" w:hAnsi="仿宋_GB2312" w:eastAsia="仿宋_GB2312" w:cs="仿宋_GB2312"/>
          <w:sz w:val="32"/>
          <w:szCs w:val="32"/>
        </w:rPr>
        <w:t>（项）。</w:t>
      </w:r>
    </w:p>
    <w:p>
      <w:pPr>
        <w:pStyle w:val="12"/>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92.84</w:t>
      </w:r>
      <w:r>
        <w:rPr>
          <w:rFonts w:hint="eastAsia" w:ascii="仿宋_GB2312" w:hAnsi="仿宋_GB2312" w:eastAsia="仿宋_GB2312" w:cs="仿宋_GB2312"/>
          <w:sz w:val="32"/>
          <w:szCs w:val="32"/>
        </w:rPr>
        <w:t>万元，决算数大于年初预算数的主要原因是：省局拨付医疗器械专项资金用于医疗器械</w:t>
      </w:r>
      <w:r>
        <w:rPr>
          <w:rFonts w:hint="eastAsia" w:ascii="仿宋_GB2312" w:hAnsi="仿宋_GB2312" w:eastAsia="仿宋_GB2312" w:cs="仿宋_GB2312"/>
          <w:sz w:val="32"/>
          <w:szCs w:val="32"/>
          <w:lang w:eastAsia="zh-CN"/>
        </w:rPr>
        <w:t>监管等方面</w:t>
      </w:r>
      <w:r>
        <w:rPr>
          <w:rFonts w:hint="eastAsia" w:ascii="仿宋_GB2312" w:hAnsi="仿宋_GB2312" w:eastAsia="仿宋_GB2312" w:cs="仿宋_GB2312"/>
          <w:sz w:val="32"/>
          <w:szCs w:val="32"/>
        </w:rPr>
        <w:t>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 xml:space="preserve"> 化妆品事务14</w:t>
      </w:r>
      <w:r>
        <w:rPr>
          <w:rFonts w:hint="eastAsia" w:ascii="仿宋_GB2312" w:hAnsi="仿宋_GB2312" w:eastAsia="仿宋_GB2312" w:cs="仿宋_GB2312"/>
          <w:sz w:val="32"/>
          <w:szCs w:val="32"/>
        </w:rPr>
        <w:t>（项）。</w:t>
      </w:r>
    </w:p>
    <w:p>
      <w:pPr>
        <w:pStyle w:val="12"/>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60.89</w:t>
      </w:r>
      <w:r>
        <w:rPr>
          <w:rFonts w:hint="eastAsia" w:ascii="仿宋_GB2312" w:hAnsi="仿宋_GB2312" w:eastAsia="仿宋_GB2312" w:cs="仿宋_GB2312"/>
          <w:sz w:val="32"/>
          <w:szCs w:val="32"/>
        </w:rPr>
        <w:t>万元，决算数大于年初预算数的主要原因是：省局拨付</w:t>
      </w:r>
      <w:r>
        <w:rPr>
          <w:rFonts w:hint="eastAsia" w:ascii="仿宋_GB2312" w:hAnsi="仿宋_GB2312" w:eastAsia="仿宋_GB2312" w:cs="仿宋_GB2312"/>
          <w:sz w:val="32"/>
          <w:szCs w:val="32"/>
          <w:lang w:eastAsia="zh-CN"/>
        </w:rPr>
        <w:t>化妆品监管</w:t>
      </w:r>
      <w:r>
        <w:rPr>
          <w:rFonts w:hint="eastAsia" w:ascii="仿宋_GB2312" w:hAnsi="仿宋_GB2312" w:eastAsia="仿宋_GB2312" w:cs="仿宋_GB2312"/>
          <w:sz w:val="32"/>
          <w:szCs w:val="32"/>
        </w:rPr>
        <w:t>专项资金用于</w:t>
      </w:r>
      <w:r>
        <w:rPr>
          <w:rFonts w:hint="eastAsia" w:ascii="仿宋_GB2312" w:hAnsi="仿宋_GB2312" w:eastAsia="仿宋_GB2312" w:cs="仿宋_GB2312"/>
          <w:sz w:val="32"/>
          <w:szCs w:val="32"/>
          <w:lang w:eastAsia="zh-CN"/>
        </w:rPr>
        <w:t>化妆品监管等方面</w:t>
      </w:r>
      <w:r>
        <w:rPr>
          <w:rFonts w:hint="eastAsia" w:ascii="仿宋_GB2312" w:hAnsi="仿宋_GB2312" w:eastAsia="仿宋_GB2312" w:cs="仿宋_GB2312"/>
          <w:sz w:val="32"/>
          <w:szCs w:val="32"/>
        </w:rPr>
        <w:t>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食品安全监管16</w:t>
      </w:r>
      <w:r>
        <w:rPr>
          <w:rFonts w:hint="eastAsia" w:ascii="仿宋_GB2312" w:hAnsi="仿宋_GB2312" w:eastAsia="仿宋_GB2312" w:cs="仿宋_GB2312"/>
          <w:sz w:val="32"/>
          <w:szCs w:val="32"/>
        </w:rPr>
        <w:t>（项）。</w:t>
      </w:r>
    </w:p>
    <w:p>
      <w:pPr>
        <w:pStyle w:val="12"/>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152.30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2175.71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省局拨付食品安全监管专项资金用于食品安全监管等方面支出。</w:t>
      </w:r>
    </w:p>
    <w:p>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600" w:lineRule="exact"/>
        <w:ind w:left="-170" w:leftChars="0" w:right="0" w:rightChars="0" w:firstLine="80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市场监督管理事务</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事业运行50</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3650.23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1257.79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34.46</w:t>
      </w:r>
      <w:r>
        <w:rPr>
          <w:rFonts w:hint="eastAsia" w:ascii="仿宋_GB2312" w:hAnsi="仿宋_GB2312" w:eastAsia="仿宋_GB2312" w:cs="仿宋_GB2312"/>
          <w:sz w:val="32"/>
          <w:szCs w:val="32"/>
        </w:rPr>
        <w:t>%，决算数小于年初预算数的主要原因</w:t>
      </w:r>
      <w:r>
        <w:rPr>
          <w:rFonts w:hint="eastAsia" w:ascii="仿宋_GB2312" w:hAnsi="仿宋_GB2312" w:eastAsia="仿宋_GB2312" w:cs="仿宋_GB2312"/>
          <w:sz w:val="32"/>
          <w:szCs w:val="32"/>
          <w:lang w:eastAsia="zh-CN"/>
        </w:rPr>
        <w:t>：一是市级</w:t>
      </w:r>
      <w:r>
        <w:rPr>
          <w:rFonts w:hint="eastAsia" w:ascii="仿宋_GB2312" w:hAnsi="仿宋_GB2312" w:eastAsia="仿宋_GB2312" w:cs="仿宋_GB2312"/>
          <w:sz w:val="32"/>
          <w:szCs w:val="32"/>
          <w:lang w:val="en-US" w:eastAsia="zh-CN"/>
        </w:rPr>
        <w:t>食品抽检专项年初预算在本单位，实际执行中根据市食安委抽检计划将市级食品抽检专项经费拨付有抽检任务的食安委成员单位；二是知识产权专项资金500万元年初预算在本单位，实际执行中由市财政局根据知识产权专项资金管理办法将资金奖补给相关企业；三是国家食品安全城市创建经费市财政局在拨付时改变了部分资金功能科目。</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14、一般公共服务支出201（类）市场监督管理事务38（款）其他市场监督管理事务99（项）。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1966.23万元，支出决算为4046.47万元，完成年初预算的205.80%，决算数大于年初预算数的主要原因：一是省局拨付市场监管专项资金；二是市财政部门在拨付人员经费时改变了部分资金功能科目；三是国检中心运行维护经费审核拨付时</w:t>
      </w:r>
      <w:r>
        <w:rPr>
          <w:rFonts w:hint="eastAsia" w:ascii="仿宋_GB2312" w:hAnsi="仿宋_GB2312" w:eastAsia="仿宋_GB2312" w:cs="仿宋_GB2312"/>
          <w:sz w:val="32"/>
          <w:szCs w:val="32"/>
          <w:highlight w:val="none"/>
          <w:lang w:eastAsia="zh-CN"/>
        </w:rPr>
        <w:t>改变了资金功能科目</w:t>
      </w:r>
      <w:r>
        <w:rPr>
          <w:rFonts w:hint="eastAsia" w:ascii="仿宋_GB2312" w:hAnsi="仿宋_GB2312" w:eastAsia="仿宋_GB2312" w:cs="仿宋_GB2312"/>
          <w:sz w:val="32"/>
          <w:szCs w:val="32"/>
          <w:lang w:val="en-US" w:eastAsia="zh-CN"/>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）其他一般公共服务支出</w:t>
      </w:r>
      <w:r>
        <w:rPr>
          <w:rFonts w:hint="eastAsia" w:ascii="仿宋_GB2312" w:hAnsi="仿宋_GB2312" w:eastAsia="仿宋_GB2312" w:cs="仿宋_GB2312"/>
          <w:sz w:val="32"/>
          <w:szCs w:val="32"/>
          <w:lang w:val="en-US" w:eastAsia="zh-CN"/>
        </w:rPr>
        <w:t>99（款）其他一般公共服务支出99（项）。</w:t>
      </w:r>
    </w:p>
    <w:p>
      <w:pPr>
        <w:pStyle w:val="12"/>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年初预</w:t>
      </w:r>
      <w:r>
        <w:rPr>
          <w:rFonts w:hint="eastAsia" w:ascii="仿宋_GB2312" w:hAnsi="仿宋_GB2312" w:eastAsia="仿宋_GB2312" w:cs="仿宋_GB2312"/>
          <w:sz w:val="32"/>
          <w:szCs w:val="32"/>
          <w:lang w:val="en-US" w:eastAsia="zh-CN"/>
        </w:rPr>
        <w:t>算为0万元，支出决算为17.10万元，决算数大于年初预算数的主要原因是：市财政部门追加市药检所公车购置资金。</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highlight w:val="none"/>
        </w:rPr>
        <w:t>一般公共服务支出</w:t>
      </w:r>
      <w:r>
        <w:rPr>
          <w:rFonts w:hint="eastAsia" w:ascii="仿宋_GB2312" w:hAnsi="仿宋_GB2312" w:eastAsia="仿宋_GB2312" w:cs="仿宋_GB2312"/>
          <w:sz w:val="32"/>
          <w:szCs w:val="32"/>
          <w:highlight w:val="none"/>
          <w:lang w:val="en-US" w:eastAsia="zh-CN"/>
        </w:rPr>
        <w:t>204</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eastAsia="zh-CN"/>
        </w:rPr>
        <w:t>司法</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法制建设12</w:t>
      </w:r>
      <w:r>
        <w:rPr>
          <w:rFonts w:hint="eastAsia" w:ascii="仿宋_GB2312" w:hAnsi="仿宋_GB2312" w:eastAsia="仿宋_GB2312" w:cs="仿宋_GB2312"/>
          <w:sz w:val="32"/>
          <w:szCs w:val="32"/>
          <w:highlight w:val="none"/>
        </w:rPr>
        <w:t>（项）。</w:t>
      </w:r>
    </w:p>
    <w:p>
      <w:pPr>
        <w:pStyle w:val="12"/>
        <w:ind w:firstLine="800" w:firstLineChars="25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万元，决算数大于年初预算数的主要原因是：</w:t>
      </w:r>
      <w:r>
        <w:rPr>
          <w:rFonts w:hint="eastAsia" w:ascii="仿宋_GB2312" w:hAnsi="仿宋_GB2312" w:eastAsia="仿宋_GB2312" w:cs="仿宋_GB2312"/>
          <w:sz w:val="32"/>
          <w:szCs w:val="32"/>
          <w:highlight w:val="none"/>
          <w:lang w:eastAsia="zh-CN"/>
        </w:rPr>
        <w:t>市司法局拨付法制工作先进单位奖励。</w:t>
      </w:r>
    </w:p>
    <w:p>
      <w:pPr>
        <w:pStyle w:val="12"/>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行政事业单位养老支出05</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行政单位离退休01</w:t>
      </w:r>
      <w:r>
        <w:rPr>
          <w:rFonts w:hint="eastAsia" w:ascii="仿宋_GB2312" w:hAnsi="仿宋_GB2312" w:eastAsia="仿宋_GB2312" w:cs="仿宋_GB2312"/>
          <w:sz w:val="32"/>
          <w:szCs w:val="32"/>
          <w:highlight w:val="none"/>
        </w:rPr>
        <w:t>（项）。</w:t>
      </w:r>
    </w:p>
    <w:p>
      <w:pPr>
        <w:pStyle w:val="12"/>
        <w:ind w:firstLine="800" w:firstLineChars="2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万元，支出决算为</w:t>
      </w:r>
      <w:r>
        <w:rPr>
          <w:rFonts w:hint="eastAsia" w:ascii="仿宋_GB2312" w:hAnsi="仿宋_GB2312" w:eastAsia="仿宋_GB2312" w:cs="仿宋_GB2312"/>
          <w:sz w:val="32"/>
          <w:szCs w:val="32"/>
          <w:highlight w:val="none"/>
          <w:lang w:val="en-US" w:eastAsia="zh-CN"/>
        </w:rPr>
        <w:t>1397.89</w:t>
      </w:r>
      <w:r>
        <w:rPr>
          <w:rFonts w:hint="eastAsia" w:ascii="仿宋_GB2312" w:hAnsi="仿宋_GB2312" w:eastAsia="仿宋_GB2312" w:cs="仿宋_GB2312"/>
          <w:sz w:val="32"/>
          <w:szCs w:val="32"/>
          <w:highlight w:val="none"/>
          <w:lang w:eastAsia="zh-CN"/>
        </w:rPr>
        <w:t>万元，决算数大于年初预算数的主要原因是：</w:t>
      </w:r>
      <w:r>
        <w:rPr>
          <w:rFonts w:hint="eastAsia" w:ascii="仿宋_GB2312" w:hAnsi="仿宋_GB2312" w:eastAsia="仿宋_GB2312" w:cs="仿宋_GB2312"/>
          <w:sz w:val="32"/>
          <w:szCs w:val="32"/>
          <w:highlight w:val="none"/>
          <w:lang w:val="en-US" w:eastAsia="zh-CN"/>
        </w:rPr>
        <w:t>市财政部门在拨付人员经费时改变了部分资金功能科目。</w:t>
      </w:r>
    </w:p>
    <w:p>
      <w:pPr>
        <w:pStyle w:val="12"/>
        <w:ind w:firstLine="800" w:firstLineChars="2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一般公共服务支出</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行政事业单位养老支出05</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事业单位离退休02</w:t>
      </w:r>
      <w:r>
        <w:rPr>
          <w:rFonts w:hint="eastAsia" w:ascii="仿宋_GB2312" w:hAnsi="仿宋_GB2312" w:eastAsia="仿宋_GB2312" w:cs="仿宋_GB2312"/>
          <w:sz w:val="32"/>
          <w:szCs w:val="32"/>
          <w:highlight w:val="none"/>
        </w:rPr>
        <w:t>（项）。</w:t>
      </w:r>
    </w:p>
    <w:p>
      <w:pPr>
        <w:pStyle w:val="12"/>
        <w:ind w:firstLine="800" w:firstLineChars="2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153.56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233.52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完成年初预算的</w:t>
      </w:r>
      <w:r>
        <w:rPr>
          <w:rFonts w:hint="eastAsia" w:ascii="仿宋_GB2312" w:hAnsi="仿宋_GB2312" w:eastAsia="仿宋_GB2312" w:cs="仿宋_GB2312"/>
          <w:sz w:val="32"/>
          <w:szCs w:val="32"/>
          <w:highlight w:val="none"/>
          <w:lang w:val="en-US" w:eastAsia="zh-CN"/>
        </w:rPr>
        <w:t>152.08%，</w:t>
      </w:r>
      <w:r>
        <w:rPr>
          <w:rFonts w:hint="eastAsia" w:ascii="仿宋_GB2312" w:hAnsi="仿宋_GB2312" w:eastAsia="仿宋_GB2312" w:cs="仿宋_GB2312"/>
          <w:sz w:val="32"/>
          <w:szCs w:val="32"/>
          <w:highlight w:val="none"/>
        </w:rPr>
        <w:t>决算数大于年初预算数的主要原因是：</w:t>
      </w:r>
      <w:r>
        <w:rPr>
          <w:rFonts w:hint="eastAsia" w:ascii="仿宋_GB2312" w:hAnsi="仿宋_GB2312" w:eastAsia="仿宋_GB2312" w:cs="仿宋_GB2312"/>
          <w:sz w:val="32"/>
          <w:szCs w:val="32"/>
          <w:highlight w:val="none"/>
          <w:lang w:val="en-US" w:eastAsia="zh-CN"/>
        </w:rPr>
        <w:t>市财政局在拨付人员经费时改变了部分资金功能科目。</w:t>
      </w:r>
    </w:p>
    <w:p>
      <w:pPr>
        <w:pStyle w:val="12"/>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一般公共服务支出</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行政事业单位养老支出05</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机关事业单位基本养老保险缴费支出05</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市财政局在拨付人员经费时改变了部分资金功能科目。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行政事业单位养老支出05</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机关事业单位职业年金缴费支出06</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14.47</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市财政局追加当年退休人员补缴部分职业年金。</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残疾人事业11</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机关其他残疾人事业支出99</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2.33</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市财政局在拨付人员经费时改变了部分资金功能科目。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（类）住房改革支出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住房公积金01</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111.79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679.19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607.56%，</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市财政部门在拨付人员经费时改变了部分资金功能科目。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城乡社区住宅</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03其他城乡社区住宅支出99</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黑体" w:hAnsi="黑体" w:eastAsia="黑体" w:cs="黑体"/>
          <w:b w:val="0"/>
          <w:bCs/>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市财政部门在拨付人员经费时改变了部分资金功能科目。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2021年度财政拨款基本支出</w:t>
      </w:r>
      <w:r>
        <w:rPr>
          <w:rFonts w:hint="eastAsia" w:ascii="仿宋_GB2312" w:hAnsi="仿宋_GB2312" w:eastAsia="仿宋_GB2312" w:cs="仿宋_GB2312"/>
          <w:sz w:val="32"/>
          <w:szCs w:val="32"/>
          <w:lang w:val="en-US" w:eastAsia="zh-CN"/>
        </w:rPr>
        <w:t>10640.93</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9176.12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86.23</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eastAsia="zh-CN"/>
        </w:rPr>
        <w:t>绩效工资、机关事业单位基本养老保险缴费、职业年金缴费、职工基本医疗保险缴费、其他社会保障缴费、住房公积金、其他工资福利支出、离退休费、抚恤金、医疗费补助、生活补助、奖励金、其他对个人和家庭补助</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1464.81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13.77</w:t>
      </w:r>
      <w:r>
        <w:rPr>
          <w:rFonts w:hint="eastAsia" w:ascii="仿宋_GB2312" w:hAnsi="仿宋_GB2312" w:eastAsia="仿宋_GB2312" w:cs="仿宋_GB2312"/>
          <w:sz w:val="32"/>
          <w:szCs w:val="32"/>
        </w:rPr>
        <w:t>%，主要包括办公费、印刷费、手续费</w:t>
      </w:r>
      <w:r>
        <w:rPr>
          <w:rFonts w:hint="eastAsia" w:ascii="仿宋_GB2312" w:hAnsi="仿宋_GB2312" w:eastAsia="仿宋_GB2312" w:cs="仿宋_GB2312"/>
          <w:sz w:val="32"/>
          <w:szCs w:val="32"/>
          <w:lang w:eastAsia="zh-CN"/>
        </w:rPr>
        <w:t>、水电费、邮电费、物业管理费、差旅费、维修（护）费、租赁费、会议费、培训费、公务接待费、专用材料费、劳务费、委托业务费、工会经费、福利费、公务用车运行维护费、其他交通费、税金及附加费用、其他商品和服务支出、办公设备购置、专用设备购置、公务用车购置、其他资本性支出</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七、一般公共预算财政拨款“三公”经费支出决算情况说明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（一）“三公”经费支出决算总体情况说明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支出预算为</w:t>
      </w:r>
      <w:r>
        <w:rPr>
          <w:rFonts w:hint="eastAsia" w:ascii="仿宋_GB2312" w:hAnsi="仿宋_GB2312" w:eastAsia="仿宋_GB2312" w:cs="仿宋_GB2312"/>
          <w:sz w:val="32"/>
          <w:szCs w:val="32"/>
          <w:lang w:val="en-US" w:eastAsia="zh-CN"/>
        </w:rPr>
        <w:t>169.50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158.61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93.57</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近两年无因公出国（境）相关支出</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21.87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49.70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加强公务接待费审批管理</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32.99万元</w:t>
      </w:r>
      <w:r>
        <w:rPr>
          <w:rFonts w:hint="eastAsia" w:ascii="仿宋_GB2312" w:hAnsi="仿宋_GB2312" w:eastAsia="仿宋_GB2312" w:cs="仿宋_GB2312"/>
          <w:sz w:val="32"/>
          <w:szCs w:val="32"/>
        </w:rPr>
        <w:t>相比减少</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33.71</w:t>
      </w:r>
      <w:r>
        <w:rPr>
          <w:rFonts w:hint="eastAsia" w:ascii="仿宋_GB2312" w:hAnsi="仿宋_GB2312" w:eastAsia="仿宋_GB2312" w:cs="仿宋_GB2312"/>
          <w:sz w:val="32"/>
          <w:szCs w:val="32"/>
        </w:rPr>
        <w:t>%,减少的主要原因</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厉行节约；二是招商引资方面接待支出减少</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62.10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（其中年初预算</w:t>
      </w:r>
      <w:r>
        <w:rPr>
          <w:rFonts w:hint="eastAsia" w:ascii="仿宋_GB2312" w:hAnsi="仿宋_GB2312" w:eastAsia="仿宋_GB2312" w:cs="仿宋_GB2312"/>
          <w:sz w:val="32"/>
          <w:szCs w:val="32"/>
          <w:lang w:val="en-US" w:eastAsia="zh-CN"/>
        </w:rPr>
        <w:t>45万元，市药检所追加公车购置预算17.10万元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94.88</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新车保险于</w:t>
      </w:r>
      <w:r>
        <w:rPr>
          <w:rFonts w:hint="eastAsia" w:ascii="仿宋_GB2312" w:hAnsi="仿宋_GB2312" w:eastAsia="仿宋_GB2312" w:cs="仿宋_GB2312"/>
          <w:sz w:val="32"/>
          <w:szCs w:val="32"/>
          <w:lang w:val="en-US" w:eastAsia="zh-CN"/>
        </w:rPr>
        <w:t>2022年支付</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50万元</w:t>
      </w:r>
      <w:r>
        <w:rPr>
          <w:rFonts w:hint="eastAsia" w:ascii="仿宋_GB2312" w:hAnsi="仿宋_GB2312" w:eastAsia="仿宋_GB2312" w:cs="仿宋_GB2312"/>
          <w:sz w:val="32"/>
          <w:szCs w:val="32"/>
        </w:rPr>
        <w:t>相</w:t>
      </w:r>
      <w:r>
        <w:rPr>
          <w:rFonts w:hint="eastAsia" w:ascii="仿宋_GB2312" w:hAnsi="仿宋_GB2312" w:eastAsia="仿宋_GB2312" w:cs="仿宋_GB2312"/>
          <w:sz w:val="32"/>
          <w:szCs w:val="32"/>
          <w:lang w:eastAsia="zh-CN"/>
        </w:rPr>
        <w:t>比增加</w:t>
      </w:r>
      <w:r>
        <w:rPr>
          <w:rFonts w:hint="eastAsia" w:ascii="仿宋_GB2312" w:hAnsi="仿宋_GB2312" w:eastAsia="仿宋_GB2312" w:cs="仿宋_GB2312"/>
          <w:sz w:val="32"/>
          <w:szCs w:val="32"/>
          <w:lang w:val="en-US" w:eastAsia="zh-CN"/>
        </w:rPr>
        <w:t>8.92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上升</w:t>
      </w:r>
      <w:r>
        <w:rPr>
          <w:rFonts w:hint="eastAsia" w:ascii="仿宋_GB2312" w:hAnsi="仿宋_GB2312" w:eastAsia="仿宋_GB2312" w:cs="仿宋_GB2312"/>
          <w:sz w:val="32"/>
          <w:szCs w:val="32"/>
          <w:lang w:val="en-US" w:eastAsia="zh-CN"/>
        </w:rPr>
        <w:t>17.84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2021年市本级置换公务车辆2台，市药检所置换业务用车1台，较2020年多置换1台公务车辆</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800" w:firstLineChars="2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80.50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77.82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96.67</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厉行节约所致</w:t>
      </w:r>
      <w:r>
        <w:rPr>
          <w:rFonts w:hint="eastAsia" w:ascii="仿宋_GB2312" w:hAnsi="仿宋_GB2312" w:eastAsia="仿宋_GB2312" w:cs="仿宋_GB2312"/>
          <w:sz w:val="32"/>
          <w:szCs w:val="32"/>
        </w:rPr>
        <w:t>，与上年</w:t>
      </w:r>
      <w:r>
        <w:rPr>
          <w:rFonts w:hint="eastAsia" w:ascii="仿宋_GB2312" w:hAnsi="仿宋_GB2312" w:eastAsia="仿宋_GB2312" w:cs="仿宋_GB2312"/>
          <w:sz w:val="32"/>
          <w:szCs w:val="32"/>
          <w:lang w:val="en-US" w:eastAsia="zh-CN"/>
        </w:rPr>
        <w:t>86.51万元</w:t>
      </w:r>
      <w:r>
        <w:rPr>
          <w:rFonts w:hint="eastAsia" w:ascii="仿宋_GB2312" w:hAnsi="仿宋_GB2312" w:eastAsia="仿宋_GB2312" w:cs="仿宋_GB2312"/>
          <w:sz w:val="32"/>
          <w:szCs w:val="32"/>
        </w:rPr>
        <w:t>相比减少</w:t>
      </w:r>
      <w:r>
        <w:rPr>
          <w:rFonts w:hint="eastAsia" w:ascii="仿宋_GB2312" w:hAnsi="仿宋_GB2312" w:eastAsia="仿宋_GB2312" w:cs="仿宋_GB2312"/>
          <w:sz w:val="32"/>
          <w:szCs w:val="32"/>
          <w:lang w:val="en-US" w:eastAsia="zh-CN"/>
        </w:rPr>
        <w:t>8.69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10.05</w:t>
      </w:r>
      <w:r>
        <w:rPr>
          <w:rFonts w:hint="eastAsia" w:ascii="仿宋_GB2312" w:hAnsi="仿宋_GB2312" w:eastAsia="仿宋_GB2312" w:cs="仿宋_GB2312"/>
          <w:sz w:val="32"/>
          <w:szCs w:val="32"/>
        </w:rPr>
        <w:t>%,减少的主要原因</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加强公务用车审批管理；二是公务车辆更新后维修费用减少</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（二）“三公”经费支出决算具体情况说明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2021年度一般公共预算财政拨款“三公”</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支出决算中，公务接待费支出决算</w:t>
      </w:r>
      <w:r>
        <w:rPr>
          <w:rFonts w:hint="eastAsia" w:ascii="仿宋_GB2312" w:hAnsi="仿宋_GB2312" w:eastAsia="仿宋_GB2312" w:cs="仿宋_GB2312"/>
          <w:sz w:val="32"/>
          <w:szCs w:val="32"/>
          <w:lang w:val="en-US" w:eastAsia="zh-CN"/>
        </w:rPr>
        <w:t>21.87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13.79</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136.74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86.21</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。近两年无</w:t>
      </w:r>
      <w:r>
        <w:rPr>
          <w:rFonts w:hint="eastAsia" w:ascii="仿宋_GB2312" w:hAnsi="仿宋_GB2312" w:eastAsia="仿宋_GB2312" w:cs="仿宋_GB2312"/>
          <w:sz w:val="32"/>
          <w:szCs w:val="32"/>
        </w:rPr>
        <w:t>因公出国（境）费支出</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i/>
          <w:color w:val="FF0000"/>
          <w:kern w:val="0"/>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公务接待费支出决算为</w:t>
      </w:r>
      <w:r>
        <w:rPr>
          <w:rFonts w:hint="eastAsia" w:ascii="仿宋_GB2312" w:hAnsi="仿宋_GB2312" w:eastAsia="仿宋_GB2312" w:cs="仿宋_GB2312"/>
          <w:sz w:val="32"/>
          <w:szCs w:val="32"/>
          <w:lang w:val="en-US" w:eastAsia="zh-CN"/>
        </w:rPr>
        <w:t>21.87</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1860</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上级局调研检查指导工作、下级汇报工作、招商引资方面发生的接待支出。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公务用车购置费及运行维护费支出决算为</w:t>
      </w:r>
      <w:r>
        <w:rPr>
          <w:rFonts w:hint="eastAsia" w:ascii="仿宋_GB2312" w:hAnsi="仿宋_GB2312" w:eastAsia="仿宋_GB2312" w:cs="仿宋_GB2312"/>
          <w:sz w:val="32"/>
          <w:szCs w:val="32"/>
          <w:lang w:val="en-US" w:eastAsia="zh-CN"/>
        </w:rPr>
        <w:t>136.74</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市本级置换</w:t>
      </w:r>
      <w:r>
        <w:rPr>
          <w:rFonts w:hint="eastAsia" w:ascii="仿宋_GB2312" w:hAnsi="仿宋_GB2312" w:eastAsia="仿宋_GB2312" w:cs="仿宋_GB2312"/>
          <w:sz w:val="32"/>
          <w:szCs w:val="32"/>
        </w:rPr>
        <w:t>公务车</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lang w:eastAsia="zh-CN"/>
        </w:rPr>
        <w:t>，市药检所更新公务车辆</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77.82</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公务车辆维修、加油、保险、过路过桥等方面</w:t>
      </w:r>
      <w:r>
        <w:rPr>
          <w:rFonts w:hint="eastAsia" w:ascii="仿宋_GB2312" w:hAnsi="仿宋_GB2312" w:eastAsia="仿宋_GB2312" w:cs="仿宋_GB2312"/>
          <w:sz w:val="32"/>
          <w:szCs w:val="32"/>
        </w:rPr>
        <w:t>支出，截止2021年12月31日，我单位开支财政拨款的公务用车保有量为</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（本单位实有在用车辆</w:t>
      </w:r>
      <w:r>
        <w:rPr>
          <w:rFonts w:hint="eastAsia" w:ascii="仿宋_GB2312" w:hAnsi="仿宋_GB2312" w:eastAsia="仿宋_GB2312" w:cs="仿宋_GB2312"/>
          <w:sz w:val="32"/>
          <w:szCs w:val="32"/>
          <w:highlight w:val="none"/>
          <w:lang w:val="en-US" w:eastAsia="zh-CN"/>
        </w:rPr>
        <w:t>24台，待下账公务车辆2台已移交市机关事务局，后续处置审批流程2022年1月办理完毕后进行账务处理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仿宋_GB2312" w:hAnsi="仿宋_GB2312" w:eastAsia="仿宋_GB2312" w:cs="仿宋_GB2312"/>
          <w:i/>
          <w:color w:val="FF0000"/>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本单位无政府性基金收支</w:t>
      </w:r>
      <w:r>
        <w:rPr>
          <w:rFonts w:hint="eastAsia" w:ascii="仿宋_GB2312" w:hAnsi="仿宋_GB2312" w:eastAsia="仿宋_GB2312" w:cs="仿宋_GB2312"/>
          <w:sz w:val="32"/>
          <w:szCs w:val="32"/>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九、机关运行经费支出说明</w:t>
      </w:r>
    </w:p>
    <w:p>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1201.97</w:t>
      </w:r>
      <w:r>
        <w:rPr>
          <w:rFonts w:hint="eastAsia" w:ascii="仿宋_GB2312" w:hAnsi="仿宋_GB2312" w:eastAsia="仿宋_GB2312" w:cs="仿宋_GB2312"/>
          <w:sz w:val="32"/>
          <w:szCs w:val="32"/>
        </w:rPr>
        <w:t>万元，比年初预</w:t>
      </w:r>
      <w:r>
        <w:rPr>
          <w:rFonts w:hint="eastAsia" w:ascii="仿宋_GB2312" w:hAnsi="仿宋_GB2312" w:eastAsia="仿宋_GB2312" w:cs="仿宋_GB2312"/>
          <w:sz w:val="32"/>
          <w:szCs w:val="32"/>
          <w:highlight w:val="none"/>
        </w:rPr>
        <w:t>算数</w:t>
      </w:r>
      <w:r>
        <w:rPr>
          <w:rFonts w:hint="eastAsia" w:ascii="仿宋_GB2312" w:hAnsi="仿宋_GB2312" w:eastAsia="仿宋_GB2312" w:cs="仿宋_GB2312"/>
          <w:sz w:val="32"/>
          <w:szCs w:val="32"/>
          <w:highlight w:val="none"/>
          <w:lang w:val="en-US" w:eastAsia="zh-CN"/>
        </w:rPr>
        <w:t>1473.40万元</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271.43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18.42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主要原因是：</w:t>
      </w:r>
      <w:r>
        <w:rPr>
          <w:rFonts w:hint="eastAsia" w:ascii="仿宋_GB2312" w:hAnsi="仿宋_GB2312" w:eastAsia="仿宋_GB2312" w:cs="仿宋_GB2312"/>
          <w:sz w:val="32"/>
          <w:szCs w:val="32"/>
          <w:lang w:eastAsia="zh-CN"/>
        </w:rPr>
        <w:t>部门决算时所属独立核算二级单位仅市纤维检验监督管理局作为参公管理事业单位填报了机关运行经费，其余所属独立核算二级事业单位均为财政全额拨款事业单位，未填报机关运行经费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比上年决算数</w:t>
      </w:r>
      <w:r>
        <w:rPr>
          <w:rFonts w:hint="eastAsia" w:ascii="仿宋_GB2312" w:hAnsi="仿宋_GB2312" w:eastAsia="仿宋_GB2312" w:cs="仿宋_GB2312"/>
          <w:sz w:val="32"/>
          <w:szCs w:val="32"/>
          <w:highlight w:val="none"/>
          <w:lang w:val="en-US" w:eastAsia="zh-CN"/>
        </w:rPr>
        <w:t>1280.29万元</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78.32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6.12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一是</w:t>
      </w:r>
      <w:r>
        <w:rPr>
          <w:rFonts w:hint="eastAsia" w:ascii="仿宋_GB2312" w:hAnsi="仿宋_GB2312" w:eastAsia="仿宋_GB2312" w:cs="仿宋_GB2312"/>
          <w:sz w:val="32"/>
          <w:szCs w:val="32"/>
          <w:lang w:eastAsia="zh-CN"/>
        </w:rPr>
        <w:t>类档经费按财政预算编制口径进行压减；二是上年动用结余资金用于机关基建项目。</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2021年度本单位开支会议费58.10万元，用于承办全国药品上市后变更交流会开支，人数350人，内容为药品上市后变更管理办法解读等，属一类会议，预算金额19.10万元，支出金额16.70万元；用于承办全国食品安全宣传周启动仪式暨全省示范性3级食品安全事故应急演练暨全省食品安全“双安双创”会议，人数727人，内容为创建人民满意食品安全城市展览、观摩应急演练、“双安双创”示范创建等，属一类会议，预算金额23.68万元，支出金额12.19万元；用于承办全省规范产品合格证工作推进会，人数275人，内容为介绍我市规范产品合格证工作开展情况，演示产品合格证云平台等，属三类会议，预算金额3.66万元，支出金额3.58万元。用于召开全市相关企业团体标准宣贯会，人数150人，内容为对质量管理相关团体标准进行解读并进行案例分析，属三类会议，预算金额2.52万元，支出金额2.21万元；用于召开全市食品生产企业证前指导会议，人数135人，内容为食品生产企业证前申报资料的准备及流程等，属三类会议，预算金额1.73万元，支出金额1.73万元；用于全市气瓶专项整治暨追溯系统推进会（分三批开会），总人数210人，内容为推进气瓶专项整治，属三类会议，预算金额2.6万元，支出金额2.08万元；用于全市地理标志换标及标准制定推进会，人数155人，内容为宣传地理标志保护政策、通报地理标志保护进展等，属三类会议，预算金额2.4万元，支出金额1.9万元。</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2021年度本单位</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84.17</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本单位组织</w:t>
      </w:r>
      <w:r>
        <w:rPr>
          <w:rFonts w:hint="eastAsia" w:ascii="仿宋_GB2312" w:hAnsi="仿宋_GB2312" w:eastAsia="仿宋_GB2312" w:cs="仿宋_GB2312"/>
          <w:sz w:val="32"/>
          <w:szCs w:val="32"/>
          <w:lang w:val="en-US" w:eastAsia="zh-CN"/>
        </w:rPr>
        <w:t>市场监管业务</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9期</w:t>
      </w:r>
      <w:r>
        <w:rPr>
          <w:rFonts w:hint="eastAsia" w:ascii="仿宋_GB2312" w:hAnsi="仿宋_GB2312" w:eastAsia="仿宋_GB2312" w:cs="仿宋_GB2312"/>
          <w:sz w:val="32"/>
          <w:szCs w:val="32"/>
          <w:lang w:eastAsia="zh-CN"/>
        </w:rPr>
        <w:t>及参加上级局组织的业务培训</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highlight w:val="none"/>
          <w:lang w:val="en-US" w:eastAsia="zh-CN"/>
        </w:rPr>
        <w:t>1426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，内容为</w:t>
      </w:r>
      <w:r>
        <w:rPr>
          <w:rFonts w:hint="eastAsia" w:ascii="仿宋_GB2312" w:hAnsi="仿宋_GB2312" w:eastAsia="仿宋_GB2312" w:cs="仿宋_GB2312"/>
          <w:sz w:val="32"/>
          <w:szCs w:val="32"/>
          <w:lang w:eastAsia="zh-CN"/>
        </w:rPr>
        <w:t>单位自行组织</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价格监管和反不正当竞争培训</w:t>
      </w:r>
      <w:r>
        <w:rPr>
          <w:rFonts w:hint="eastAsia" w:ascii="仿宋_GB2312" w:hAnsi="仿宋_GB2312" w:eastAsia="仿宋_GB2312" w:cs="仿宋_GB2312"/>
          <w:sz w:val="32"/>
          <w:szCs w:val="32"/>
          <w:highlight w:val="none"/>
          <w:lang w:eastAsia="zh-CN"/>
        </w:rPr>
        <w:t>预算</w:t>
      </w:r>
      <w:r>
        <w:rPr>
          <w:rFonts w:hint="eastAsia" w:ascii="仿宋_GB2312" w:hAnsi="仿宋_GB2312" w:eastAsia="仿宋_GB2312" w:cs="仿宋_GB2312"/>
          <w:sz w:val="32"/>
          <w:szCs w:val="32"/>
          <w:highlight w:val="none"/>
          <w:lang w:val="en-US" w:eastAsia="zh-CN"/>
        </w:rPr>
        <w:t>8.18万元，实际支出4.68万元；</w:t>
      </w:r>
      <w:r>
        <w:rPr>
          <w:rFonts w:hint="eastAsia" w:ascii="仿宋_GB2312" w:hAnsi="仿宋_GB2312" w:eastAsia="仿宋_GB2312" w:cs="仿宋_GB2312"/>
          <w:sz w:val="32"/>
          <w:szCs w:val="32"/>
          <w:highlight w:val="none"/>
          <w:lang w:eastAsia="zh-CN"/>
        </w:rPr>
        <w:t>计量业务知识培训预算金额</w:t>
      </w:r>
      <w:r>
        <w:rPr>
          <w:rFonts w:hint="eastAsia" w:ascii="仿宋_GB2312" w:hAnsi="仿宋_GB2312" w:eastAsia="仿宋_GB2312" w:cs="仿宋_GB2312"/>
          <w:sz w:val="32"/>
          <w:szCs w:val="32"/>
          <w:highlight w:val="none"/>
          <w:lang w:val="en-US" w:eastAsia="zh-CN"/>
        </w:rPr>
        <w:t>2.78万元，实际支出2.52万元；</w:t>
      </w:r>
      <w:r>
        <w:rPr>
          <w:rFonts w:hint="eastAsia" w:ascii="仿宋_GB2312" w:hAnsi="仿宋_GB2312" w:eastAsia="仿宋_GB2312" w:cs="仿宋_GB2312"/>
          <w:sz w:val="32"/>
          <w:szCs w:val="32"/>
          <w:highlight w:val="none"/>
          <w:lang w:eastAsia="zh-CN"/>
        </w:rPr>
        <w:t>质量发展与产品安全预算</w:t>
      </w:r>
      <w:r>
        <w:rPr>
          <w:rFonts w:hint="eastAsia" w:ascii="仿宋_GB2312" w:hAnsi="仿宋_GB2312" w:eastAsia="仿宋_GB2312" w:cs="仿宋_GB2312"/>
          <w:sz w:val="32"/>
          <w:szCs w:val="32"/>
          <w:highlight w:val="none"/>
          <w:lang w:val="en-US" w:eastAsia="zh-CN"/>
        </w:rPr>
        <w:t>15.30万元，实际支出9.50万元；</w:t>
      </w:r>
      <w:r>
        <w:rPr>
          <w:rFonts w:hint="eastAsia" w:ascii="仿宋_GB2312" w:hAnsi="仿宋_GB2312" w:eastAsia="仿宋_GB2312" w:cs="仿宋_GB2312"/>
          <w:sz w:val="32"/>
          <w:szCs w:val="32"/>
          <w:highlight w:val="none"/>
          <w:lang w:eastAsia="zh-CN"/>
        </w:rPr>
        <w:t>消费维权业务预算</w:t>
      </w:r>
      <w:r>
        <w:rPr>
          <w:rFonts w:hint="eastAsia" w:ascii="仿宋_GB2312" w:hAnsi="仿宋_GB2312" w:eastAsia="仿宋_GB2312" w:cs="仿宋_GB2312"/>
          <w:sz w:val="32"/>
          <w:szCs w:val="32"/>
          <w:highlight w:val="none"/>
          <w:lang w:val="en-US" w:eastAsia="zh-CN"/>
        </w:rPr>
        <w:t>8.09万元，实际支出6.78万元；</w:t>
      </w:r>
      <w:r>
        <w:rPr>
          <w:rFonts w:hint="eastAsia" w:ascii="仿宋_GB2312" w:hAnsi="仿宋_GB2312" w:eastAsia="仿宋_GB2312" w:cs="仿宋_GB2312"/>
          <w:sz w:val="32"/>
          <w:szCs w:val="32"/>
          <w:highlight w:val="none"/>
          <w:lang w:eastAsia="zh-CN"/>
        </w:rPr>
        <w:t>网络经济发展与监管预算</w:t>
      </w:r>
      <w:r>
        <w:rPr>
          <w:rFonts w:hint="eastAsia" w:ascii="仿宋_GB2312" w:hAnsi="仿宋_GB2312" w:eastAsia="仿宋_GB2312" w:cs="仿宋_GB2312"/>
          <w:sz w:val="32"/>
          <w:szCs w:val="32"/>
          <w:highlight w:val="none"/>
          <w:lang w:val="en-US" w:eastAsia="zh-CN"/>
        </w:rPr>
        <w:t>4.2万元，实际支出3.82万元；食品安全培训预算14.38万元，实际支出12.56万元；</w:t>
      </w:r>
      <w:r>
        <w:rPr>
          <w:rFonts w:hint="eastAsia" w:ascii="仿宋_GB2312" w:hAnsi="仿宋_GB2312" w:eastAsia="仿宋_GB2312" w:cs="仿宋_GB2312"/>
          <w:sz w:val="32"/>
          <w:szCs w:val="32"/>
          <w:highlight w:val="none"/>
          <w:lang w:eastAsia="zh-CN"/>
        </w:rPr>
        <w:t>特安监管人员业务预算</w:t>
      </w:r>
      <w:r>
        <w:rPr>
          <w:rFonts w:hint="eastAsia" w:ascii="仿宋_GB2312" w:hAnsi="仿宋_GB2312" w:eastAsia="仿宋_GB2312" w:cs="仿宋_GB2312"/>
          <w:sz w:val="32"/>
          <w:szCs w:val="32"/>
          <w:highlight w:val="none"/>
          <w:lang w:val="en-US" w:eastAsia="zh-CN"/>
        </w:rPr>
        <w:t>11.85万元，实际支出11.84万元；</w:t>
      </w:r>
      <w:r>
        <w:rPr>
          <w:rFonts w:hint="eastAsia" w:ascii="仿宋_GB2312" w:hAnsi="仿宋_GB2312" w:eastAsia="仿宋_GB2312" w:cs="仿宋_GB2312"/>
          <w:sz w:val="32"/>
          <w:szCs w:val="32"/>
          <w:highlight w:val="none"/>
          <w:lang w:eastAsia="zh-CN"/>
        </w:rPr>
        <w:t>知识产权综合能力提升预算</w:t>
      </w:r>
      <w:r>
        <w:rPr>
          <w:rFonts w:hint="eastAsia" w:ascii="仿宋_GB2312" w:hAnsi="仿宋_GB2312" w:eastAsia="仿宋_GB2312" w:cs="仿宋_GB2312"/>
          <w:sz w:val="32"/>
          <w:szCs w:val="32"/>
          <w:highlight w:val="none"/>
          <w:lang w:val="en-US" w:eastAsia="zh-CN"/>
        </w:rPr>
        <w:t>7.7万元，实际支出7.06万元；</w:t>
      </w:r>
      <w:r>
        <w:rPr>
          <w:rFonts w:hint="eastAsia" w:ascii="仿宋_GB2312" w:hAnsi="仿宋_GB2312" w:eastAsia="仿宋_GB2312" w:cs="仿宋_GB2312"/>
          <w:sz w:val="32"/>
          <w:szCs w:val="32"/>
          <w:highlight w:val="none"/>
          <w:lang w:eastAsia="zh-CN"/>
        </w:rPr>
        <w:t>法制执法培训预算</w:t>
      </w:r>
      <w:r>
        <w:rPr>
          <w:rFonts w:hint="eastAsia" w:ascii="仿宋_GB2312" w:hAnsi="仿宋_GB2312" w:eastAsia="仿宋_GB2312" w:cs="仿宋_GB2312"/>
          <w:sz w:val="32"/>
          <w:szCs w:val="32"/>
          <w:highlight w:val="none"/>
          <w:lang w:val="en-US" w:eastAsia="zh-CN"/>
        </w:rPr>
        <w:t>15.8万元，实际支出12.10万元等。</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年度本单位开支</w:t>
      </w:r>
      <w:r>
        <w:rPr>
          <w:rFonts w:hint="eastAsia" w:ascii="仿宋_GB2312" w:hAnsi="仿宋_GB2312" w:eastAsia="仿宋_GB2312" w:cs="仿宋_GB2312"/>
          <w:sz w:val="32"/>
          <w:szCs w:val="32"/>
        </w:rPr>
        <w:t>节庆、晚会、论坛、赛事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0万元。</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十一、政府采购支出说明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2667.10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1623.83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321.80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721.47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1246.23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46.73</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1232.56</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98.90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货物采购授予中小企业合同金额</w:t>
      </w:r>
      <w:r>
        <w:rPr>
          <w:rFonts w:hint="eastAsia" w:ascii="仿宋_GB2312" w:hAnsi="仿宋_GB2312" w:eastAsia="仿宋_GB2312" w:cs="仿宋_GB2312"/>
          <w:sz w:val="32"/>
          <w:szCs w:val="32"/>
          <w:highlight w:val="none"/>
          <w:lang w:val="en-US" w:eastAsia="zh-CN"/>
        </w:rPr>
        <w:t>586.45万元，</w:t>
      </w:r>
      <w:r>
        <w:rPr>
          <w:rFonts w:hint="eastAsia" w:ascii="仿宋_GB2312" w:hAnsi="仿宋_GB2312" w:eastAsia="仿宋_GB2312" w:cs="仿宋_GB2312"/>
          <w:sz w:val="32"/>
          <w:szCs w:val="32"/>
          <w:highlight w:val="none"/>
        </w:rPr>
        <w:t>占货物支出金额的</w:t>
      </w:r>
      <w:r>
        <w:rPr>
          <w:rFonts w:hint="eastAsia" w:ascii="仿宋_GB2312" w:hAnsi="仿宋_GB2312" w:eastAsia="仿宋_GB2312" w:cs="仿宋_GB2312"/>
          <w:sz w:val="32"/>
          <w:szCs w:val="32"/>
          <w:highlight w:val="none"/>
          <w:lang w:val="en-US" w:eastAsia="zh-CN"/>
        </w:rPr>
        <w:t>47.06</w:t>
      </w:r>
      <w:r>
        <w:rPr>
          <w:rFonts w:hint="eastAsia" w:ascii="仿宋_GB2312" w:hAnsi="仿宋_GB2312" w:eastAsia="仿宋_GB2312" w:cs="仿宋_GB2312"/>
          <w:sz w:val="32"/>
          <w:szCs w:val="32"/>
          <w:highlight w:val="none"/>
        </w:rPr>
        <w:t>%，工程采购授予中小企业合同金额</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占工程支出金额的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%，服务采购授予中小企业合同金额</w:t>
      </w:r>
      <w:r>
        <w:rPr>
          <w:rFonts w:hint="eastAsia" w:ascii="仿宋_GB2312" w:hAnsi="仿宋_GB2312" w:eastAsia="仿宋_GB2312" w:cs="仿宋_GB2312"/>
          <w:sz w:val="32"/>
          <w:szCs w:val="32"/>
          <w:highlight w:val="none"/>
          <w:lang w:val="en-US" w:eastAsia="zh-CN"/>
        </w:rPr>
        <w:t>659.78万元，</w:t>
      </w:r>
      <w:r>
        <w:rPr>
          <w:rFonts w:hint="eastAsia" w:ascii="仿宋_GB2312" w:hAnsi="仿宋_GB2312" w:eastAsia="仿宋_GB2312" w:cs="仿宋_GB2312"/>
          <w:sz w:val="32"/>
          <w:szCs w:val="32"/>
          <w:highlight w:val="none"/>
        </w:rPr>
        <w:t>占服务支出金额的</w:t>
      </w:r>
      <w:r>
        <w:rPr>
          <w:rFonts w:hint="eastAsia" w:ascii="仿宋_GB2312" w:hAnsi="仿宋_GB2312" w:eastAsia="仿宋_GB2312" w:cs="仿宋_GB2312"/>
          <w:sz w:val="32"/>
          <w:szCs w:val="32"/>
          <w:highlight w:val="none"/>
          <w:lang w:val="en-US" w:eastAsia="zh-CN"/>
        </w:rPr>
        <w:t>52.94</w:t>
      </w:r>
      <w:r>
        <w:rPr>
          <w:rFonts w:hint="eastAsia" w:ascii="仿宋_GB2312" w:hAnsi="仿宋_GB2312" w:eastAsia="仿宋_GB2312" w:cs="仿宋_GB2312"/>
          <w:sz w:val="32"/>
          <w:szCs w:val="32"/>
          <w:highlight w:val="none"/>
        </w:rPr>
        <w:t>%。</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十二、国有资产占用情况说明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（本单位实有在用车辆</w:t>
      </w:r>
      <w:r>
        <w:rPr>
          <w:rFonts w:hint="eastAsia" w:ascii="仿宋_GB2312" w:hAnsi="仿宋_GB2312" w:eastAsia="仿宋_GB2312" w:cs="仿宋_GB2312"/>
          <w:sz w:val="32"/>
          <w:szCs w:val="32"/>
          <w:lang w:val="en-US" w:eastAsia="zh-CN"/>
        </w:rPr>
        <w:t>24台，待下账公务车辆2台，均已移交市机关事务局，后续处置审批流程在2022年1月办理完毕后已进行账务处理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十三、2021年度预算绩效情况说明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（1）绩效管理评价工作开展情况</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根据预算绩效管理要求，</w:t>
      </w:r>
      <w:r>
        <w:rPr>
          <w:rFonts w:hint="eastAsia" w:ascii="仿宋_GB2312" w:hAnsi="仿宋_GB2312" w:eastAsia="仿宋_GB2312" w:cs="仿宋_GB2312"/>
          <w:color w:val="000000"/>
          <w:kern w:val="0"/>
          <w:sz w:val="32"/>
          <w:szCs w:val="32"/>
          <w:lang w:eastAsia="zh-CN"/>
        </w:rPr>
        <w:t>本单位</w:t>
      </w:r>
      <w:r>
        <w:rPr>
          <w:rFonts w:hint="eastAsia" w:ascii="仿宋_GB2312" w:hAnsi="仿宋_GB2312" w:eastAsia="仿宋_GB2312" w:cs="仿宋_GB2312"/>
          <w:color w:val="000000"/>
          <w:kern w:val="0"/>
          <w:sz w:val="32"/>
          <w:szCs w:val="32"/>
        </w:rPr>
        <w:t>组织对2021年度一般公共预算项目支出全面开展绩效自评，其中</w:t>
      </w:r>
      <w:r>
        <w:rPr>
          <w:rFonts w:hint="eastAsia" w:ascii="仿宋_GB2312" w:hAnsi="仿宋_GB2312" w:eastAsia="仿宋_GB2312" w:cs="仿宋_GB2312"/>
          <w:color w:val="000000"/>
          <w:kern w:val="0"/>
          <w:sz w:val="32"/>
          <w:szCs w:val="32"/>
          <w:highlight w:val="none"/>
        </w:rPr>
        <w:t>，一级项目</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个，二级项</w:t>
      </w:r>
      <w:r>
        <w:rPr>
          <w:rFonts w:hint="eastAsia" w:ascii="仿宋_GB2312" w:hAnsi="仿宋_GB2312" w:eastAsia="仿宋_GB2312" w:cs="仿宋_GB2312"/>
          <w:color w:val="000000"/>
          <w:kern w:val="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个，共涉及资金</w:t>
      </w:r>
      <w:r>
        <w:rPr>
          <w:rFonts w:hint="eastAsia" w:ascii="仿宋_GB2312" w:hAnsi="仿宋_GB2312" w:eastAsia="仿宋_GB2312" w:cs="仿宋_GB2312"/>
          <w:color w:val="000000"/>
          <w:kern w:val="0"/>
          <w:sz w:val="32"/>
          <w:szCs w:val="32"/>
          <w:highlight w:val="none"/>
          <w:lang w:val="en-US" w:eastAsia="zh-CN"/>
        </w:rPr>
        <w:t>5242.48</w:t>
      </w:r>
      <w:r>
        <w:rPr>
          <w:rFonts w:hint="eastAsia" w:ascii="仿宋_GB2312" w:hAnsi="仿宋_GB2312" w:eastAsia="仿宋_GB2312" w:cs="仿宋_GB2312"/>
          <w:color w:val="000000"/>
          <w:kern w:val="0"/>
          <w:sz w:val="32"/>
          <w:szCs w:val="32"/>
          <w:highlight w:val="none"/>
        </w:rPr>
        <w:t>万元</w:t>
      </w:r>
      <w:r>
        <w:rPr>
          <w:rFonts w:hint="eastAsia" w:ascii="仿宋_GB2312" w:hAnsi="仿宋_GB2312" w:eastAsia="仿宋_GB2312" w:cs="仿宋_GB2312"/>
          <w:color w:val="000000"/>
          <w:kern w:val="0"/>
          <w:sz w:val="32"/>
          <w:szCs w:val="32"/>
          <w:highlight w:val="none"/>
          <w:lang w:eastAsia="zh-CN"/>
        </w:rPr>
        <w:t>（含省级转移拨付专项，因省级专项已单独自评并上报，故不再在项目绩效自评中赘述，仅对市级项目做</w:t>
      </w:r>
      <w:r>
        <w:rPr>
          <w:rFonts w:hint="eastAsia" w:ascii="仿宋_GB2312" w:hAnsi="仿宋_GB2312" w:eastAsia="仿宋_GB2312" w:cs="仿宋_GB2312"/>
          <w:color w:val="000000"/>
          <w:kern w:val="0"/>
          <w:sz w:val="32"/>
          <w:szCs w:val="32"/>
          <w:highlight w:val="none"/>
        </w:rPr>
        <w:t>绩效自评综述</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，占一般公共预算项目支出总额的</w:t>
      </w:r>
      <w:r>
        <w:rPr>
          <w:rFonts w:hint="eastAsia" w:ascii="仿宋_GB2312" w:hAnsi="仿宋_GB2312" w:eastAsia="仿宋_GB2312" w:cs="仿宋_GB2312"/>
          <w:color w:val="000000"/>
          <w:kern w:val="0"/>
          <w:sz w:val="32"/>
          <w:szCs w:val="32"/>
          <w:highlight w:val="none"/>
          <w:lang w:val="en-US" w:eastAsia="zh-CN"/>
        </w:rPr>
        <w:t>100</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rPr>
        <w:t>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个政府性基金预算项目支出开展绩效自评，共涉及资金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万元。组织对2021年度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个国有资本经营预算项目支出开展绩效自评，共涉及资金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组织对</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个项目开展了部门评价，涉及一般公共预算支出</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万元，政府性基金预算支出</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万元，国有资本经营预算支出</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万元。</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仿宋_GB2312" w:hAnsi="仿宋_GB2312" w:eastAsia="仿宋_GB2312" w:cs="仿宋_GB2312"/>
          <w:i/>
          <w:color w:val="FF0000"/>
          <w:kern w:val="0"/>
          <w:sz w:val="32"/>
          <w:szCs w:val="32"/>
          <w:lang w:val="en-US" w:eastAsia="zh-CN"/>
        </w:rPr>
      </w:pPr>
      <w:r>
        <w:rPr>
          <w:rFonts w:hint="eastAsia" w:ascii="仿宋_GB2312" w:hAnsi="仿宋_GB2312" w:eastAsia="仿宋_GB2312" w:cs="仿宋_GB2312"/>
          <w:color w:val="000000"/>
          <w:kern w:val="0"/>
          <w:sz w:val="32"/>
          <w:szCs w:val="32"/>
          <w:highlight w:val="none"/>
        </w:rPr>
        <w:t>组织对</w:t>
      </w:r>
      <w:r>
        <w:rPr>
          <w:rFonts w:hint="eastAsia" w:ascii="仿宋_GB2312" w:hAnsi="仿宋_GB2312" w:eastAsia="仿宋_GB2312" w:cs="仿宋_GB2312"/>
          <w:color w:val="000000"/>
          <w:kern w:val="0"/>
          <w:sz w:val="32"/>
          <w:szCs w:val="32"/>
          <w:highlight w:val="none"/>
          <w:lang w:val="en-US" w:eastAsia="zh-CN"/>
        </w:rPr>
        <w:t>7</w:t>
      </w:r>
      <w:r>
        <w:rPr>
          <w:rFonts w:hint="eastAsia" w:ascii="仿宋_GB2312" w:hAnsi="仿宋_GB2312" w:eastAsia="仿宋_GB2312" w:cs="仿宋_GB2312"/>
          <w:color w:val="000000"/>
          <w:kern w:val="0"/>
          <w:sz w:val="32"/>
          <w:szCs w:val="32"/>
          <w:highlight w:val="none"/>
        </w:rPr>
        <w:t>个</w:t>
      </w:r>
      <w:r>
        <w:rPr>
          <w:rFonts w:hint="eastAsia" w:ascii="仿宋_GB2312" w:hAnsi="仿宋_GB2312" w:eastAsia="仿宋_GB2312" w:cs="仿宋_GB2312"/>
          <w:color w:val="000000"/>
          <w:kern w:val="0"/>
          <w:sz w:val="32"/>
          <w:szCs w:val="32"/>
          <w:highlight w:val="none"/>
          <w:lang w:eastAsia="zh-CN"/>
        </w:rPr>
        <w:t>独立核算二级事业</w:t>
      </w:r>
      <w:r>
        <w:rPr>
          <w:rFonts w:hint="eastAsia" w:ascii="仿宋_GB2312" w:hAnsi="仿宋_GB2312" w:eastAsia="仿宋_GB2312" w:cs="仿宋_GB2312"/>
          <w:color w:val="000000"/>
          <w:kern w:val="0"/>
          <w:sz w:val="32"/>
          <w:szCs w:val="32"/>
          <w:highlight w:val="none"/>
        </w:rPr>
        <w:t>单位开展整体支出绩效评价，涉及一般公共预算支出</w:t>
      </w:r>
      <w:r>
        <w:rPr>
          <w:rFonts w:hint="eastAsia" w:ascii="仿宋_GB2312" w:hAnsi="仿宋_GB2312" w:eastAsia="仿宋_GB2312" w:cs="仿宋_GB2312"/>
          <w:color w:val="000000"/>
          <w:kern w:val="0"/>
          <w:sz w:val="32"/>
          <w:szCs w:val="32"/>
          <w:highlight w:val="none"/>
          <w:lang w:eastAsia="zh-CN"/>
        </w:rPr>
        <w:t>共</w:t>
      </w:r>
      <w:r>
        <w:rPr>
          <w:rFonts w:hint="eastAsia" w:ascii="仿宋_GB2312" w:hAnsi="仿宋_GB2312" w:eastAsia="仿宋_GB2312" w:cs="仿宋_GB2312"/>
          <w:color w:val="000000"/>
          <w:kern w:val="0"/>
          <w:sz w:val="32"/>
          <w:szCs w:val="32"/>
          <w:highlight w:val="none"/>
          <w:lang w:val="en-US" w:eastAsia="zh-CN"/>
        </w:rPr>
        <w:t>16065.09</w:t>
      </w:r>
      <w:r>
        <w:rPr>
          <w:rFonts w:hint="eastAsia" w:ascii="仿宋_GB2312" w:hAnsi="仿宋_GB2312" w:eastAsia="仿宋_GB2312" w:cs="仿宋_GB2312"/>
          <w:color w:val="000000"/>
          <w:kern w:val="0"/>
          <w:sz w:val="32"/>
          <w:szCs w:val="32"/>
          <w:highlight w:val="none"/>
        </w:rPr>
        <w:t>万元，</w:t>
      </w:r>
      <w:r>
        <w:rPr>
          <w:rFonts w:hint="eastAsia" w:ascii="仿宋_GB2312" w:hAnsi="仿宋_GB2312" w:eastAsia="仿宋_GB2312" w:cs="仿宋_GB2312"/>
          <w:color w:val="000000"/>
          <w:kern w:val="0"/>
          <w:sz w:val="32"/>
          <w:szCs w:val="32"/>
        </w:rPr>
        <w:t>政府性基金预算支出</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万元。从评价情况来看，</w:t>
      </w:r>
      <w:r>
        <w:rPr>
          <w:rFonts w:hint="eastAsia" w:ascii="仿宋_GB2312" w:hAnsi="仿宋_GB2312" w:eastAsia="仿宋_GB2312" w:cs="仿宋_GB2312"/>
          <w:color w:val="000000"/>
          <w:kern w:val="0"/>
          <w:sz w:val="32"/>
          <w:szCs w:val="32"/>
          <w:lang w:val="en-US" w:eastAsia="zh-CN"/>
        </w:rPr>
        <w:t>本单位出色履行职责和完成各项重点工作任务，全面实现了部门预算绩效目标。我单位</w:t>
      </w:r>
      <w:r>
        <w:rPr>
          <w:rFonts w:hint="default" w:ascii="仿宋_GB2312" w:hAnsi="仿宋_GB2312" w:eastAsia="仿宋_GB2312" w:cs="仿宋_GB2312"/>
          <w:color w:val="000000"/>
          <w:kern w:val="0"/>
          <w:sz w:val="32"/>
          <w:szCs w:val="32"/>
          <w:lang w:val="en-US" w:eastAsia="zh-CN"/>
        </w:rPr>
        <w:t>对202</w:t>
      </w:r>
      <w:r>
        <w:rPr>
          <w:rFonts w:hint="eastAsia" w:ascii="仿宋_GB2312" w:hAnsi="仿宋_GB2312" w:eastAsia="仿宋_GB2312" w:cs="仿宋_GB2312"/>
          <w:color w:val="000000"/>
          <w:kern w:val="0"/>
          <w:sz w:val="32"/>
          <w:szCs w:val="32"/>
          <w:lang w:val="en-US" w:eastAsia="zh-CN"/>
        </w:rPr>
        <w:t>1</w:t>
      </w:r>
      <w:r>
        <w:rPr>
          <w:rFonts w:hint="default" w:ascii="仿宋_GB2312" w:hAnsi="仿宋_GB2312" w:eastAsia="仿宋_GB2312" w:cs="仿宋_GB2312"/>
          <w:color w:val="000000"/>
          <w:kern w:val="0"/>
          <w:sz w:val="32"/>
          <w:szCs w:val="32"/>
          <w:lang w:val="en-US" w:eastAsia="zh-CN"/>
        </w:rPr>
        <w:t>年部门整体支出进行绩效自评</w:t>
      </w:r>
      <w:r>
        <w:rPr>
          <w:rFonts w:hint="default" w:ascii="仿宋_GB2312" w:hAnsi="仿宋_GB2312" w:eastAsia="仿宋_GB2312" w:cs="仿宋_GB2312"/>
          <w:color w:val="000000"/>
          <w:kern w:val="0"/>
          <w:sz w:val="32"/>
          <w:szCs w:val="32"/>
          <w:highlight w:val="none"/>
          <w:lang w:val="en-US" w:eastAsia="zh-CN"/>
        </w:rPr>
        <w:t>，自评得</w:t>
      </w:r>
      <w:r>
        <w:rPr>
          <w:rFonts w:hint="eastAsia" w:ascii="仿宋_GB2312" w:hAnsi="仿宋_GB2312" w:eastAsia="仿宋_GB2312" w:cs="仿宋_GB2312"/>
          <w:color w:val="000000"/>
          <w:kern w:val="0"/>
          <w:sz w:val="32"/>
          <w:szCs w:val="32"/>
          <w:highlight w:val="none"/>
          <w:lang w:val="en-US" w:eastAsia="zh-CN"/>
        </w:rPr>
        <w:t>94.39</w:t>
      </w:r>
      <w:r>
        <w:rPr>
          <w:rFonts w:hint="default" w:ascii="仿宋_GB2312" w:hAnsi="仿宋_GB2312" w:eastAsia="仿宋_GB2312" w:cs="仿宋_GB2312"/>
          <w:color w:val="000000"/>
          <w:kern w:val="0"/>
          <w:sz w:val="32"/>
          <w:szCs w:val="32"/>
          <w:lang w:val="en-US" w:eastAsia="zh-CN"/>
        </w:rPr>
        <w:t>分，绩效自评等级为“优”。</w:t>
      </w:r>
      <w:r>
        <w:rPr>
          <w:rFonts w:hint="eastAsia" w:ascii="仿宋_GB2312" w:hAnsi="仿宋_GB2312" w:eastAsia="仿宋_GB2312" w:cs="仿宋_GB2312"/>
          <w:color w:val="000000"/>
          <w:kern w:val="0"/>
          <w:sz w:val="32"/>
          <w:szCs w:val="32"/>
          <w:highlight w:val="none"/>
          <w:lang w:val="en-US" w:eastAsia="zh-CN"/>
        </w:rPr>
        <w:t>2022年9月5日市财政部门引入第三方对单位自评情况开展再评价，发布《关于市本级2021年度预算支出绩效自评再评价结果的通报》，我单位绩效自评再评价质量等级为“良”。</w:t>
      </w:r>
      <w:r>
        <w:rPr>
          <w:rFonts w:hint="eastAsia" w:ascii="仿宋_GB2312" w:hAnsi="仿宋_GB2312" w:eastAsia="仿宋_GB2312" w:cs="仿宋_GB2312"/>
          <w:color w:val="000000"/>
          <w:kern w:val="0"/>
          <w:sz w:val="32"/>
          <w:szCs w:val="32"/>
          <w:lang w:val="en-US" w:eastAsia="zh-CN"/>
        </w:rPr>
        <w:t>详见第五部分附件。</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i/>
          <w:color w:val="FF0000"/>
          <w:kern w:val="0"/>
          <w:sz w:val="32"/>
          <w:szCs w:val="32"/>
          <w:lang w:eastAsia="zh-CN"/>
        </w:rPr>
      </w:pPr>
      <w:r>
        <w:rPr>
          <w:rFonts w:hint="eastAsia" w:ascii="仿宋_GB2312" w:hAnsi="仿宋_GB2312" w:eastAsia="仿宋_GB2312" w:cs="仿宋_GB2312"/>
          <w:b/>
          <w:color w:val="000000"/>
          <w:kern w:val="0"/>
          <w:sz w:val="32"/>
          <w:szCs w:val="32"/>
        </w:rPr>
        <w:t>（2）部门决算中项目绩效自评结果。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市级抽检专项</w:t>
      </w:r>
      <w:r>
        <w:rPr>
          <w:rFonts w:hint="eastAsia" w:ascii="仿宋_GB2312" w:hAnsi="仿宋_GB2312" w:eastAsia="仿宋_GB2312" w:cs="仿宋_GB2312"/>
          <w:color w:val="000000"/>
          <w:kern w:val="0"/>
          <w:sz w:val="32"/>
          <w:szCs w:val="32"/>
        </w:rPr>
        <w:t>项目绩效自评综述：</w:t>
      </w:r>
      <w:r>
        <w:rPr>
          <w:rFonts w:hint="eastAsia" w:ascii="仿宋_GB2312" w:hAnsi="仿宋_GB2312" w:eastAsia="仿宋_GB2312" w:cs="仿宋_GB2312"/>
          <w:color w:val="000000"/>
          <w:kern w:val="0"/>
          <w:sz w:val="32"/>
          <w:szCs w:val="32"/>
          <w:lang w:eastAsia="zh-CN"/>
        </w:rPr>
        <w:t>该专项主要用于全市范围内食品及相关产品的抽检工作。</w:t>
      </w: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kern w:val="0"/>
          <w:sz w:val="32"/>
          <w:szCs w:val="32"/>
          <w:lang w:val="en-US" w:eastAsia="zh-CN"/>
        </w:rPr>
        <w:t>2021年</w:t>
      </w:r>
      <w:r>
        <w:rPr>
          <w:rFonts w:hint="eastAsia" w:ascii="仿宋_GB2312" w:hAnsi="仿宋_GB2312" w:eastAsia="仿宋_GB2312" w:cs="仿宋_GB2312"/>
          <w:color w:val="000000"/>
          <w:kern w:val="0"/>
          <w:sz w:val="32"/>
          <w:szCs w:val="32"/>
        </w:rPr>
        <w:t>年初设定的绩效目标，项目绩效自评得分为</w:t>
      </w:r>
      <w:r>
        <w:rPr>
          <w:rFonts w:hint="eastAsia" w:ascii="仿宋_GB2312" w:hAnsi="仿宋_GB2312" w:eastAsia="仿宋_GB2312" w:cs="仿宋_GB2312"/>
          <w:color w:val="000000"/>
          <w:kern w:val="0"/>
          <w:sz w:val="32"/>
          <w:szCs w:val="32"/>
          <w:highlight w:val="none"/>
          <w:lang w:val="en-US" w:eastAsia="zh-CN"/>
        </w:rPr>
        <w:t>98.62</w:t>
      </w:r>
      <w:r>
        <w:rPr>
          <w:rFonts w:hint="eastAsia" w:ascii="仿宋_GB2312" w:hAnsi="仿宋_GB2312" w:eastAsia="仿宋_GB2312" w:cs="仿宋_GB2312"/>
          <w:color w:val="000000"/>
          <w:kern w:val="0"/>
          <w:sz w:val="32"/>
          <w:szCs w:val="32"/>
        </w:rPr>
        <w:t>分。20</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可使用</w:t>
      </w:r>
      <w:r>
        <w:rPr>
          <w:rFonts w:hint="eastAsia" w:ascii="仿宋_GB2312" w:hAnsi="仿宋_GB2312" w:eastAsia="仿宋_GB2312" w:cs="仿宋_GB2312"/>
          <w:color w:val="000000"/>
          <w:kern w:val="0"/>
          <w:sz w:val="32"/>
          <w:szCs w:val="32"/>
        </w:rPr>
        <w:t>抽检专项经费资金</w:t>
      </w:r>
      <w:r>
        <w:rPr>
          <w:rFonts w:hint="eastAsia" w:ascii="仿宋_GB2312" w:hAnsi="仿宋_GB2312" w:eastAsia="仿宋_GB2312" w:cs="仿宋_GB2312"/>
          <w:color w:val="000000"/>
          <w:kern w:val="0"/>
          <w:sz w:val="32"/>
          <w:szCs w:val="32"/>
          <w:lang w:val="en-US" w:eastAsia="zh-CN"/>
        </w:rPr>
        <w:t>总额1874.79万元，其中2021年度</w:t>
      </w:r>
      <w:r>
        <w:rPr>
          <w:rFonts w:hint="eastAsia" w:ascii="仿宋_GB2312" w:hAnsi="仿宋_GB2312" w:eastAsia="仿宋_GB2312" w:cs="仿宋_GB2312"/>
          <w:color w:val="000000"/>
          <w:kern w:val="0"/>
          <w:sz w:val="32"/>
          <w:szCs w:val="32"/>
        </w:rPr>
        <w:t>抽检专项经费预算</w:t>
      </w:r>
      <w:r>
        <w:rPr>
          <w:rFonts w:hint="eastAsia" w:ascii="仿宋_GB2312" w:hAnsi="仿宋_GB2312" w:eastAsia="仿宋_GB2312" w:cs="仿宋_GB2312"/>
          <w:color w:val="000000"/>
          <w:kern w:val="0"/>
          <w:sz w:val="32"/>
          <w:szCs w:val="32"/>
          <w:lang w:val="en-US" w:eastAsia="zh-CN"/>
        </w:rPr>
        <w:t>1305.00</w:t>
      </w:r>
      <w:r>
        <w:rPr>
          <w:rFonts w:hint="eastAsia" w:ascii="仿宋_GB2312" w:hAnsi="仿宋_GB2312" w:eastAsia="仿宋_GB2312" w:cs="仿宋_GB2312"/>
          <w:color w:val="000000"/>
          <w:kern w:val="0"/>
          <w:sz w:val="32"/>
          <w:szCs w:val="32"/>
        </w:rPr>
        <w:t>万元，各单位上年结</w:t>
      </w:r>
      <w:r>
        <w:rPr>
          <w:rFonts w:hint="eastAsia" w:ascii="仿宋_GB2312" w:hAnsi="仿宋_GB2312" w:eastAsia="仿宋_GB2312" w:cs="仿宋_GB2312"/>
          <w:color w:val="000000"/>
          <w:kern w:val="0"/>
          <w:sz w:val="32"/>
          <w:szCs w:val="32"/>
          <w:lang w:eastAsia="zh-CN"/>
        </w:rPr>
        <w:t>转</w:t>
      </w:r>
      <w:r>
        <w:rPr>
          <w:rFonts w:hint="eastAsia" w:ascii="仿宋_GB2312" w:hAnsi="仿宋_GB2312" w:eastAsia="仿宋_GB2312" w:cs="仿宋_GB2312"/>
          <w:color w:val="000000"/>
          <w:kern w:val="0"/>
          <w:sz w:val="32"/>
          <w:szCs w:val="32"/>
          <w:lang w:val="en-US" w:eastAsia="zh-CN"/>
        </w:rPr>
        <w:t>共计176.65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，市食品检验所抽检经费</w:t>
      </w:r>
      <w:r>
        <w:rPr>
          <w:rFonts w:hint="eastAsia" w:ascii="仿宋_GB2312" w:hAnsi="仿宋_GB2312" w:eastAsia="仿宋_GB2312" w:cs="仿宋_GB2312"/>
          <w:color w:val="000000"/>
          <w:kern w:val="0"/>
          <w:sz w:val="32"/>
          <w:szCs w:val="32"/>
          <w:lang w:val="en-US" w:eastAsia="zh-CN"/>
        </w:rPr>
        <w:t>264.4万元，市药品检验所抽检经费128.74万元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实际</w:t>
      </w:r>
      <w:r>
        <w:rPr>
          <w:rFonts w:hint="eastAsia" w:ascii="仿宋_GB2312" w:hAnsi="仿宋_GB2312" w:eastAsia="仿宋_GB2312" w:cs="仿宋_GB2312"/>
          <w:color w:val="000000"/>
          <w:kern w:val="0"/>
          <w:sz w:val="32"/>
          <w:szCs w:val="32"/>
        </w:rPr>
        <w:t>到位资金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含上年结余</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1874.79万元。截止12月31日，各成员单位实际支出总额1785.65万元，占年度可用经费95.25%；结转资金89.14万元，</w:t>
      </w:r>
      <w:r>
        <w:rPr>
          <w:rFonts w:hint="eastAsia" w:ascii="仿宋" w:hAnsi="仿宋" w:eastAsia="仿宋" w:cs="仿宋"/>
          <w:sz w:val="32"/>
          <w:szCs w:val="32"/>
          <w:lang w:val="en-US" w:eastAsia="zh-CN"/>
        </w:rPr>
        <w:t>占年度可用经费4.75%。</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color w:val="000000"/>
          <w:kern w:val="0"/>
          <w:sz w:val="32"/>
          <w:szCs w:val="32"/>
          <w:lang w:eastAsia="zh-CN"/>
        </w:rPr>
        <w:t>一是完成抽检</w:t>
      </w:r>
      <w:r>
        <w:rPr>
          <w:rFonts w:hint="eastAsia" w:ascii="仿宋_GB2312" w:hAnsi="仿宋_GB2312" w:eastAsia="仿宋_GB2312" w:cs="仿宋_GB2312"/>
          <w:color w:val="000000"/>
          <w:kern w:val="0"/>
          <w:sz w:val="32"/>
          <w:szCs w:val="32"/>
          <w:lang w:val="en-US" w:eastAsia="zh-CN"/>
        </w:rPr>
        <w:t>16085批次，出具抽检报告16085份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本年市本级监督抽检总体任务完成情况较好，计划完成食品安全监督抽检任务14948批次，实际完成16085批次，不合格553批次，任务完成率107.61%，合格率96.56%。不合格产品处置率</w:t>
      </w:r>
      <w:r>
        <w:rPr>
          <w:rFonts w:hint="eastAsia" w:ascii="仿宋_GB2312" w:hAnsi="仿宋_GB2312" w:eastAsia="仿宋_GB2312" w:cs="仿宋_GB2312"/>
          <w:color w:val="000000"/>
          <w:kern w:val="0"/>
          <w:sz w:val="32"/>
          <w:szCs w:val="32"/>
          <w:lang w:val="en-US" w:eastAsia="zh-CN"/>
        </w:rPr>
        <w:t>100%，食品安全及食品抽检知晓率80.28%,全年未发生重大食品安全事故，社会公众对抽检工作满意度、服务对象对抽检及检验工作满意度达80%，有力提升了全市食品安全水平，提升居民幸福感、获得感。</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发现的主要问题及原因：</w:t>
      </w:r>
      <w:r>
        <w:rPr>
          <w:rFonts w:hint="eastAsia" w:ascii="仿宋_GB2312" w:hAnsi="仿宋_GB2312" w:eastAsia="仿宋_GB2312" w:cs="仿宋_GB2312"/>
          <w:color w:val="000000"/>
          <w:kern w:val="0"/>
          <w:sz w:val="32"/>
          <w:szCs w:val="32"/>
          <w:lang w:eastAsia="zh-CN"/>
        </w:rPr>
        <w:t>一是抽检专项经费列支缓慢，主要原因是该专项属事业发展类专项，部门预算批复后需根据《常德市级专项资金管理办法》规定程序报批专项细化方案，经市财政部门、</w:t>
      </w:r>
      <w:r>
        <w:rPr>
          <w:rFonts w:hint="eastAsia" w:ascii="仿宋_GB2312" w:hAnsi="仿宋_GB2312" w:eastAsia="仿宋_GB2312" w:cs="仿宋_GB2312"/>
          <w:color w:val="000000"/>
          <w:sz w:val="32"/>
          <w:szCs w:val="32"/>
        </w:rPr>
        <w:t>市政府分管市长同意后实施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eastAsia="zh-CN"/>
        </w:rPr>
        <w:t>市食安委根据批准的专项细化方案，按程序申请专项资金拨付</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从预算批复到专项资金拨付到位期间跨度较长。二是食品抽检合格率较上年有所下降。</w:t>
      </w:r>
      <w:r>
        <w:rPr>
          <w:rFonts w:hint="eastAsia" w:ascii="仿宋_GB2312" w:hAnsi="仿宋_GB2312" w:eastAsia="仿宋_GB2312" w:cs="仿宋_GB2312"/>
          <w:color w:val="000000"/>
          <w:kern w:val="0"/>
          <w:sz w:val="32"/>
          <w:szCs w:val="32"/>
        </w:rPr>
        <w:t>下一步改进措施：一是</w:t>
      </w:r>
      <w:r>
        <w:rPr>
          <w:rFonts w:hint="eastAsia" w:ascii="仿宋_GB2312" w:hAnsi="仿宋_GB2312" w:eastAsia="仿宋_GB2312" w:cs="仿宋_GB2312"/>
          <w:color w:val="000000"/>
          <w:kern w:val="0"/>
          <w:sz w:val="32"/>
          <w:szCs w:val="32"/>
          <w:lang w:eastAsia="zh-CN"/>
        </w:rPr>
        <w:t>尽早部署，在预算编制时草拟预算分配计划；在预算批复后及时修改资金细化方案；在细化方案获批后及时启动资金拨付程序</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二是利用好食品抽检靶向性作用，不以合格率为导向，提倡“真抽、真检、出真报告”，促进全市食品安全经营者懂法、守法，诚信经营。</w:t>
      </w:r>
    </w:p>
    <w:p>
      <w:pPr>
        <w:bidi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国家食品安全城市创建专项</w:t>
      </w:r>
      <w:r>
        <w:rPr>
          <w:rFonts w:hint="eastAsia" w:ascii="仿宋_GB2312" w:hAnsi="仿宋_GB2312" w:eastAsia="仿宋_GB2312" w:cs="仿宋_GB2312"/>
          <w:color w:val="000000"/>
          <w:kern w:val="0"/>
          <w:sz w:val="32"/>
          <w:szCs w:val="32"/>
          <w:lang w:val="en-US" w:eastAsia="zh-CN" w:bidi="ar-SA"/>
        </w:rPr>
        <w:t>项目绩效自评综述：该专项主要用于国家食品安全城市创建宣传、日常工作。根据</w:t>
      </w:r>
      <w:r>
        <w:rPr>
          <w:rFonts w:hint="eastAsia" w:ascii="仿宋_GB2312" w:hAnsi="仿宋_GB2312" w:eastAsia="仿宋_GB2312" w:cs="仿宋_GB2312"/>
          <w:color w:val="000000"/>
          <w:kern w:val="0"/>
          <w:sz w:val="32"/>
          <w:szCs w:val="32"/>
          <w:lang w:val="en-US" w:eastAsia="zh-CN"/>
        </w:rPr>
        <w:t>2021年</w:t>
      </w:r>
      <w:r>
        <w:rPr>
          <w:rFonts w:hint="eastAsia" w:ascii="仿宋_GB2312" w:hAnsi="仿宋_GB2312" w:eastAsia="仿宋_GB2312" w:cs="仿宋_GB2312"/>
          <w:color w:val="000000"/>
          <w:kern w:val="0"/>
          <w:sz w:val="32"/>
          <w:szCs w:val="32"/>
          <w:lang w:val="en-US" w:eastAsia="zh-CN" w:bidi="ar-SA"/>
        </w:rPr>
        <w:t>年初设定的绩效目标，项目绩效自评得分为98.46分。项目全年预算数为200万元，执行数为179.20万元，完成预算的89.60%。项目绩效目标完成情况：一是实现创城指标75项；二是实现多渠道媒体宣传合10家；三是制作创城视频、音频6期；四是在省、市部分媒体上作创城动态宣传、报道225条；五是召开全市食品安全工作会议、创建工作调度会、现场推进会8次；六是开展创城督导检查、考核评估7次；七是组织市、县、乡三级从事食品安全工作人员150人次参加业务培训；八是印制毒蘑菇、创建知识读本11万份。</w:t>
      </w:r>
      <w:r>
        <w:rPr>
          <w:rFonts w:hint="eastAsia" w:ascii="仿宋_GB2312" w:hAnsi="仿宋_GB2312" w:eastAsia="仿宋_GB2312" w:cs="仿宋_GB2312"/>
          <w:color w:val="000000"/>
          <w:kern w:val="0"/>
          <w:sz w:val="32"/>
          <w:szCs w:val="32"/>
        </w:rPr>
        <w:t>发现的主要问题及原因：一是</w:t>
      </w:r>
      <w:r>
        <w:rPr>
          <w:rFonts w:hint="eastAsia" w:ascii="仿宋_GB2312" w:hAnsi="仿宋_GB2312" w:eastAsia="仿宋_GB2312" w:cs="仿宋_GB2312"/>
          <w:color w:val="000000"/>
          <w:kern w:val="0"/>
          <w:sz w:val="32"/>
          <w:szCs w:val="32"/>
          <w:lang w:eastAsia="zh-CN"/>
        </w:rPr>
        <w:t>暂未实现创建工作验收，主要原因是</w:t>
      </w:r>
      <w:r>
        <w:rPr>
          <w:rFonts w:hint="eastAsia" w:ascii="仿宋_GB2312" w:hAnsi="仿宋_GB2312" w:eastAsia="仿宋_GB2312" w:cs="仿宋_GB2312"/>
          <w:color w:val="000000"/>
          <w:kern w:val="0"/>
          <w:sz w:val="32"/>
          <w:szCs w:val="32"/>
          <w:lang w:val="en-US" w:eastAsia="zh-CN"/>
        </w:rPr>
        <w:t>2018年下半年，党中央对创建事项进行清理规范，要求</w:t>
      </w:r>
      <w:r>
        <w:rPr>
          <w:rFonts w:hint="eastAsia" w:ascii="仿宋_GB2312" w:hAnsi="仿宋_GB2312" w:eastAsia="仿宋_GB2312" w:cs="仿宋_GB2312"/>
          <w:color w:val="000000"/>
          <w:kern w:val="0"/>
          <w:sz w:val="32"/>
          <w:szCs w:val="32"/>
          <w:lang w:val="en-US" w:eastAsia="zh-CN" w:bidi="ar-SA"/>
        </w:rPr>
        <w:t>国家食品安全城市创建的申报、验收工作暂停，2019年5月，《中共中央国务院关于深化改革加强食品安全工作的意见》进一步明确要持续开展食品安全示范城市创建工作；二是创城指标75项准备工作推迟到2023年底，主要原因是2020年9月，全国评比达标表彰工作协调小组批准国家食品安全示范城市创建由国务院食品安全办组织实施。国家层面创建验收工作推迟，考核细则由原来的161项调整至94项，75项指标的准备工作需要推迟；三是本年度专项资金仅完成预算的89.6%，主要原因是满意度测评报告2021年底未出具，该笔资金2021年底暂未支付，于2022年支付。下一步改进措施：一是由于国家层面政策调整，国家食品安全城市创建工作验收工作推迟，我局将继续深入推进创城各项既定工作任务，适时根据国家层面政策调整，修订创城工作方案，预计常德市创建验收工作将于2024年进行验收；二是加大专项推进力度，力争年内实现预定绩效目标；</w:t>
      </w:r>
      <w:r>
        <w:rPr>
          <w:rFonts w:hint="eastAsia" w:ascii="仿宋_GB2312" w:hAnsi="仿宋_GB2312" w:eastAsia="仿宋_GB2312" w:cs="仿宋_GB2312"/>
          <w:color w:val="000000"/>
          <w:kern w:val="0"/>
          <w:sz w:val="32"/>
          <w:szCs w:val="32"/>
          <w:highlight w:val="none"/>
          <w:lang w:val="en-US" w:eastAsia="zh-CN" w:bidi="ar-SA"/>
        </w:rPr>
        <w:t>三是根据上级政策调整向相关部门汇报，及时修改绩效目标</w:t>
      </w:r>
      <w:r>
        <w:rPr>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知识产权专项</w:t>
      </w:r>
      <w:r>
        <w:rPr>
          <w:rFonts w:hint="eastAsia" w:ascii="仿宋_GB2312" w:hAnsi="仿宋_GB2312" w:eastAsia="仿宋_GB2312" w:cs="仿宋_GB2312"/>
          <w:color w:val="000000"/>
          <w:kern w:val="0"/>
          <w:sz w:val="32"/>
          <w:szCs w:val="32"/>
        </w:rPr>
        <w:t>项目绩效自评综述：</w:t>
      </w:r>
      <w:r>
        <w:rPr>
          <w:rFonts w:hint="eastAsia" w:ascii="仿宋_GB2312" w:hAnsi="仿宋_GB2312" w:eastAsia="仿宋_GB2312" w:cs="仿宋_GB2312"/>
          <w:color w:val="000000"/>
          <w:kern w:val="0"/>
          <w:sz w:val="32"/>
          <w:szCs w:val="32"/>
          <w:lang w:eastAsia="zh-CN"/>
        </w:rPr>
        <w:t>该专项主要用于本市企业获得发明专利、</w:t>
      </w:r>
      <w:r>
        <w:rPr>
          <w:rFonts w:hint="eastAsia" w:ascii="仿宋_GB2312" w:hAnsi="仿宋_GB2312" w:eastAsia="仿宋_GB2312" w:cs="仿宋_GB2312"/>
          <w:color w:val="000000"/>
          <w:kern w:val="0"/>
          <w:sz w:val="32"/>
          <w:szCs w:val="32"/>
          <w:lang w:val="en-US" w:eastAsia="zh-CN"/>
        </w:rPr>
        <w:t>PCT（国际）申请、地理标志、质押融资等事项的资助。</w:t>
      </w: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kern w:val="0"/>
          <w:sz w:val="32"/>
          <w:szCs w:val="32"/>
          <w:lang w:val="en-US" w:eastAsia="zh-CN"/>
        </w:rPr>
        <w:t>2021年</w:t>
      </w:r>
      <w:r>
        <w:rPr>
          <w:rFonts w:hint="eastAsia" w:ascii="仿宋_GB2312" w:hAnsi="仿宋_GB2312" w:eastAsia="仿宋_GB2312" w:cs="仿宋_GB2312"/>
          <w:color w:val="000000"/>
          <w:kern w:val="0"/>
          <w:sz w:val="32"/>
          <w:szCs w:val="32"/>
        </w:rPr>
        <w:t>年初设定的绩效目标，项目绩效自评得分为</w:t>
      </w:r>
      <w:r>
        <w:rPr>
          <w:rFonts w:hint="eastAsia" w:ascii="仿宋_GB2312" w:hAnsi="仿宋_GB2312" w:eastAsia="仿宋_GB2312" w:cs="仿宋_GB2312"/>
          <w:color w:val="000000"/>
          <w:kern w:val="0"/>
          <w:sz w:val="32"/>
          <w:szCs w:val="32"/>
          <w:lang w:val="en-US" w:eastAsia="zh-CN"/>
        </w:rPr>
        <w:t>99.29</w:t>
      </w:r>
      <w:r>
        <w:rPr>
          <w:rFonts w:hint="eastAsia" w:ascii="仿宋_GB2312" w:hAnsi="仿宋_GB2312" w:eastAsia="仿宋_GB2312" w:cs="仿宋_GB2312"/>
          <w:color w:val="000000"/>
          <w:kern w:val="0"/>
          <w:sz w:val="32"/>
          <w:szCs w:val="32"/>
        </w:rPr>
        <w:t>分。项目全年预算数为</w:t>
      </w:r>
      <w:r>
        <w:rPr>
          <w:rFonts w:hint="eastAsia" w:ascii="仿宋_GB2312" w:hAnsi="仿宋_GB2312" w:eastAsia="仿宋_GB2312" w:cs="仿宋_GB2312"/>
          <w:color w:val="000000"/>
          <w:kern w:val="0"/>
          <w:sz w:val="32"/>
          <w:szCs w:val="32"/>
          <w:lang w:val="en-US" w:eastAsia="zh-CN"/>
        </w:rPr>
        <w:t>500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499.85</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99.97</w:t>
      </w:r>
      <w:r>
        <w:rPr>
          <w:rFonts w:hint="eastAsia" w:ascii="仿宋_GB2312" w:hAnsi="仿宋_GB2312" w:eastAsia="仿宋_GB2312" w:cs="仿宋_GB2312"/>
          <w:color w:val="000000"/>
          <w:kern w:val="0"/>
          <w:sz w:val="32"/>
          <w:szCs w:val="32"/>
        </w:rPr>
        <w:t>%。项目绩效目标完成情况：一是</w:t>
      </w:r>
      <w:r>
        <w:rPr>
          <w:rFonts w:hint="eastAsia" w:ascii="仿宋_GB2312" w:hAnsi="仿宋_GB2312" w:eastAsia="仿宋_GB2312" w:cs="仿宋_GB2312"/>
          <w:color w:val="000000"/>
          <w:kern w:val="0"/>
          <w:sz w:val="32"/>
          <w:szCs w:val="32"/>
          <w:lang w:eastAsia="zh-CN"/>
        </w:rPr>
        <w:t>发明专利资助</w:t>
      </w:r>
      <w:r>
        <w:rPr>
          <w:rFonts w:hint="eastAsia" w:ascii="仿宋_GB2312" w:hAnsi="仿宋_GB2312" w:eastAsia="仿宋_GB2312" w:cs="仿宋_GB2312"/>
          <w:color w:val="000000"/>
          <w:kern w:val="0"/>
          <w:sz w:val="32"/>
          <w:szCs w:val="32"/>
          <w:lang w:val="en-US" w:eastAsia="zh-CN"/>
        </w:rPr>
        <w:t>787件</w:t>
      </w:r>
      <w:r>
        <w:rPr>
          <w:rFonts w:hint="eastAsia" w:ascii="仿宋_GB2312" w:hAnsi="仿宋_GB2312" w:eastAsia="仿宋_GB2312" w:cs="仿宋_GB2312"/>
          <w:color w:val="000000"/>
          <w:kern w:val="0"/>
          <w:sz w:val="32"/>
          <w:szCs w:val="32"/>
        </w:rPr>
        <w:t>；二是</w:t>
      </w:r>
      <w:r>
        <w:rPr>
          <w:rFonts w:hint="eastAsia" w:ascii="仿宋_GB2312" w:hAnsi="仿宋_GB2312" w:eastAsia="仿宋_GB2312" w:cs="仿宋_GB2312"/>
          <w:color w:val="000000"/>
          <w:kern w:val="0"/>
          <w:sz w:val="32"/>
          <w:szCs w:val="32"/>
          <w:lang w:val="en-US" w:eastAsia="zh-CN"/>
        </w:rPr>
        <w:t>PCT（国际）专利资助56件；三是商标和地理标志产品资助6件；四是企业贯标补助18件；五是质押融资补贴30万元。</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发现的主要问题及原因：一是实际绩效目标完成值与年初设定绩效指标值有偏差，主要原因是企业申报相关专利需国家知识产权总局审批，申请到获批时间跨度大。下一步改进措施：一是继续加大对知识产权的宣传力度，提升企业知识产权保护意识；二是为企业自有知识产权申报提供政策支持。</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lang w:val="en-US" w:eastAsia="zh-CN"/>
        </w:rPr>
        <w:t xml:space="preserve">      </w:t>
      </w:r>
      <w:r>
        <w:rPr>
          <w:rFonts w:hint="eastAsia" w:ascii="仿宋_GB2312" w:hAnsi="仿宋_GB2312" w:eastAsia="仿宋_GB2312" w:cs="仿宋_GB2312"/>
          <w:b/>
          <w:bCs/>
          <w:color w:val="000000"/>
          <w:kern w:val="0"/>
          <w:sz w:val="32"/>
          <w:szCs w:val="32"/>
          <w:lang w:val="en-US" w:eastAsia="zh-CN"/>
        </w:rPr>
        <w:t>其他运转类</w:t>
      </w:r>
      <w:r>
        <w:rPr>
          <w:rFonts w:hint="eastAsia" w:ascii="仿宋_GB2312" w:hAnsi="仿宋_GB2312" w:eastAsia="仿宋_GB2312" w:cs="仿宋_GB2312"/>
          <w:b/>
          <w:bCs/>
          <w:color w:val="000000"/>
          <w:kern w:val="0"/>
          <w:sz w:val="32"/>
          <w:szCs w:val="32"/>
          <w:lang w:eastAsia="zh-CN"/>
        </w:rPr>
        <w:t>专项</w:t>
      </w:r>
      <w:r>
        <w:rPr>
          <w:rFonts w:hint="eastAsia" w:ascii="仿宋_GB2312" w:hAnsi="仿宋_GB2312" w:eastAsia="仿宋_GB2312" w:cs="仿宋_GB2312"/>
          <w:color w:val="000000"/>
          <w:kern w:val="0"/>
          <w:sz w:val="32"/>
          <w:szCs w:val="32"/>
        </w:rPr>
        <w:t>项目绩效自评综述：</w:t>
      </w:r>
      <w:r>
        <w:rPr>
          <w:rFonts w:hint="eastAsia" w:ascii="仿宋_GB2312" w:hAnsi="仿宋_GB2312" w:eastAsia="仿宋_GB2312" w:cs="仿宋_GB2312"/>
          <w:color w:val="000000"/>
          <w:kern w:val="0"/>
          <w:sz w:val="32"/>
          <w:szCs w:val="32"/>
          <w:lang w:eastAsia="zh-CN"/>
        </w:rPr>
        <w:t>该专项主要保障局机关及直属事业单位市场主体管理、市场秩序执法、计量、标准、认证认可、审评及不良反应监测、产品质量安全监管、特种设备质量安全监管、食品药品安全监管、法治建设及有关综合部门日常业务工作开展等</w:t>
      </w:r>
      <w:r>
        <w:rPr>
          <w:rFonts w:hint="eastAsia" w:ascii="仿宋_GB2312" w:hAnsi="仿宋_GB2312" w:eastAsia="仿宋_GB2312" w:cs="仿宋_GB2312"/>
          <w:color w:val="000000"/>
          <w:kern w:val="0"/>
          <w:sz w:val="32"/>
          <w:szCs w:val="32"/>
          <w:lang w:val="en-US" w:eastAsia="zh-CN"/>
        </w:rPr>
        <w:t>。根据2021年年初设定的绩效目标，项目绩效自评得分为99.51分。项目全年预算数为1203.75万元，执行数为1144.74万元，完成预算的95.10%。项目绩效目标完成情况：一是完成抽检任务153批次，其中化妆品20批次、药品120批次、医疗器械13批次；二是质量诊断12家重点行业、企业；三是开展“品牌常德 品质消费”活动2次；四是食品安全事故应急演练1次；五是制定《常德市市场监督管理局放心消费创建工作实旅方案》和制定《常德市市场主体和规上企业双倍增三年行动计划实施方案》；六是全市市场主体数量38.47万户；七是建立了公平竞争审查工作联席会议制度；八是全市全面推行“证照分离”改革；九是2021年完成强检计量器具总量8.5万台（件）；十是完成经营性精干麻公检批次55批次；十一是开展工业产品监督抽样602批次；十二是完成编制常德基本公共服务标准174项，其中基本公共服务基础标准5项、事项标准154项和评价标准15项。</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jc w:val="left"/>
        <w:textAlignment w:val="auto"/>
        <w:outlineLvl w:val="9"/>
        <w:rPr>
          <w:rFonts w:hint="default"/>
          <w:lang w:val="en-US"/>
        </w:rPr>
      </w:pPr>
      <w:r>
        <w:rPr>
          <w:rFonts w:hint="eastAsia" w:ascii="仿宋_GB2312" w:hAnsi="仿宋_GB2312" w:eastAsia="仿宋_GB2312" w:cs="仿宋_GB2312"/>
          <w:color w:val="000000"/>
          <w:kern w:val="0"/>
          <w:sz w:val="32"/>
          <w:szCs w:val="32"/>
          <w:lang w:val="en-US" w:eastAsia="zh-CN"/>
        </w:rPr>
        <w:t>发现的主要问题及原因：一是上半年支出执行进度缓慢，主要原因是受疫情等因素影响；二是质量认证、质量发展、计量强检等方面工作经费缺口较大。下一步改进措施：一是</w:t>
      </w:r>
      <w:r>
        <w:rPr>
          <w:rFonts w:ascii="仿宋_GB2312" w:hAnsi="宋体" w:eastAsia="仿宋_GB2312" w:cs="仿宋_GB2312"/>
          <w:color w:val="000000"/>
          <w:kern w:val="0"/>
          <w:sz w:val="31"/>
          <w:szCs w:val="31"/>
          <w:lang w:val="en-US" w:eastAsia="zh-CN" w:bidi="ar"/>
        </w:rPr>
        <w:t>加强预算执行管理，严格按照预算、</w:t>
      </w:r>
      <w:r>
        <w:rPr>
          <w:rFonts w:hint="eastAsia" w:ascii="仿宋_GB2312" w:hAnsi="宋体" w:eastAsia="仿宋_GB2312" w:cs="仿宋_GB2312"/>
          <w:color w:val="000000"/>
          <w:kern w:val="0"/>
          <w:sz w:val="31"/>
          <w:szCs w:val="31"/>
          <w:lang w:val="en-US" w:eastAsia="zh-CN" w:bidi="ar"/>
        </w:rPr>
        <w:t>用款计划、项目进度、有关合同和规定程序及时办理资金支付，切实提高资金使用效率</w:t>
      </w:r>
      <w:r>
        <w:rPr>
          <w:rFonts w:hint="eastAsia" w:ascii="仿宋_GB2312" w:hAnsi="仿宋_GB2312" w:eastAsia="仿宋_GB2312" w:cs="仿宋_GB2312"/>
          <w:color w:val="000000"/>
          <w:kern w:val="0"/>
          <w:sz w:val="32"/>
          <w:szCs w:val="32"/>
          <w:lang w:val="en-US" w:eastAsia="zh-CN"/>
        </w:rPr>
        <w:t>；二是质量认证、质量发展、计量强检等方面工作仍需财政给予政策及资金支持。</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（3）部门评价项目绩效评价结果。</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sz w:val="72"/>
          <w:szCs w:val="72"/>
        </w:rPr>
        <w:sectPr>
          <w:pgSz w:w="11906" w:h="16838"/>
          <w:pgMar w:top="2154" w:right="1531" w:bottom="2154" w:left="1531" w:header="851" w:footer="992" w:gutter="0"/>
          <w:cols w:space="0" w:num="1"/>
          <w:rtlGutter w:val="0"/>
          <w:docGrid w:type="linesAndChars" w:linePitch="313" w:charSpace="117"/>
        </w:sectPr>
      </w:pPr>
      <w:r>
        <w:rPr>
          <w:rFonts w:hint="eastAsia" w:ascii="仿宋_GB2312" w:hAnsi="仿宋_GB2312" w:eastAsia="仿宋_GB2312" w:cs="仿宋_GB2312"/>
          <w:b w:val="0"/>
          <w:bCs w:val="0"/>
          <w:i w:val="0"/>
          <w:iCs/>
          <w:color w:val="auto"/>
          <w:kern w:val="0"/>
          <w:sz w:val="32"/>
          <w:szCs w:val="32"/>
          <w:lang w:val="en-US" w:eastAsia="zh-CN"/>
        </w:rPr>
        <w:t>无部门评价项目。</w:t>
      </w:r>
    </w:p>
    <w:p>
      <w:pPr>
        <w:pStyle w:val="12"/>
        <w:jc w:val="both"/>
        <w:rPr>
          <w:sz w:val="72"/>
          <w:szCs w:val="72"/>
        </w:rPr>
      </w:pPr>
    </w:p>
    <w:p>
      <w:pPr>
        <w:pStyle w:val="12"/>
        <w:jc w:val="center"/>
        <w:rPr>
          <w:sz w:val="72"/>
          <w:szCs w:val="72"/>
        </w:rPr>
      </w:pPr>
    </w:p>
    <w:p>
      <w:pPr>
        <w:pStyle w:val="12"/>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第四部分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lang w:val="en-US" w:eastAsia="zh-CN"/>
        </w:rPr>
      </w:pPr>
      <w:r>
        <w:rPr>
          <w:rFonts w:hint="eastAsia" w:ascii="方正小标宋简体" w:hAnsi="方正小标宋简体" w:eastAsia="方正小标宋简体" w:cs="方正小标宋简体"/>
          <w:color w:val="000000"/>
          <w:kern w:val="0"/>
          <w:sz w:val="70"/>
          <w:szCs w:val="70"/>
        </w:rPr>
        <w:t>名词解释</w:t>
      </w:r>
      <w:r>
        <w:rPr>
          <w:rFonts w:hint="eastAsia" w:ascii="方正小标宋简体" w:hAnsi="方正小标宋简体" w:eastAsia="方正小标宋简体" w:cs="方正小标宋简体"/>
          <w:color w:val="000000"/>
          <w:kern w:val="0"/>
          <w:sz w:val="70"/>
          <w:szCs w:val="70"/>
          <w:lang w:val="en-US" w:eastAsia="zh-CN"/>
        </w:rPr>
        <w:t xml:space="preserve"> </w:t>
      </w:r>
    </w:p>
    <w:p>
      <w:pPr>
        <w:pStyle w:val="12"/>
        <w:rPr>
          <w:rFonts w:hint="eastAsia" w:ascii="仿宋_GB2312" w:hAnsi="仿宋_GB2312" w:eastAsia="仿宋_GB2312" w:cs="仿宋_GB2312"/>
          <w:sz w:val="32"/>
          <w:szCs w:val="32"/>
        </w:rPr>
      </w:pPr>
      <w:r>
        <w:rPr>
          <w:rFonts w:ascii="黑体" w:eastAsia="黑体" w:cs="黑体"/>
          <w:color w:val="000000"/>
          <w:kern w:val="0"/>
          <w:sz w:val="70"/>
          <w:szCs w:val="70"/>
        </w:rPr>
        <w:br w:type="page"/>
      </w:r>
      <w:r>
        <w:rPr>
          <w:rFonts w:hint="eastAsia" w:ascii="仿宋_GB2312" w:hAnsi="仿宋_GB2312" w:eastAsia="仿宋_GB2312" w:cs="仿宋_GB2312"/>
          <w:color w:val="000000"/>
          <w:kern w:val="0"/>
          <w:sz w:val="70"/>
          <w:szCs w:val="70"/>
          <w:lang w:val="en-US" w:eastAsia="zh-CN"/>
        </w:rPr>
        <w:t xml:space="preserve">  </w:t>
      </w:r>
      <w:r>
        <w:rPr>
          <w:rFonts w:hint="eastAsia" w:ascii="仿宋_GB2312" w:hAnsi="仿宋_GB2312" w:eastAsia="仿宋_GB2312" w:cs="仿宋_GB2312"/>
          <w:sz w:val="32"/>
          <w:szCs w:val="32"/>
        </w:rPr>
        <w:t>一、基本支出：指为保障机构正常运转、完成日常工作任务而发生的各项支出，包括人员支出和公用支出。</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二、项目支出：指在基本支出以外为</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相关行政任务和事业发展目标所发生的各项支出。</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三、“三公”经费：指通过财政拨款资金安排的因公出国（境）费、公务用车购置及运行费和公务接待费支出。</w:t>
      </w:r>
    </w:p>
    <w:p>
      <w:pPr>
        <w:pStyle w:val="1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指各部门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ind w:firstLine="640" w:firstLineChars="200"/>
        <w:jc w:val="left"/>
        <w:rPr>
          <w:rFonts w:hint="eastAsia" w:eastAsia="楷体_GB2312"/>
          <w:color w:val="000000"/>
          <w:sz w:val="32"/>
          <w:szCs w:val="32"/>
          <w:lang w:val="en-US" w:eastAsia="zh-CN"/>
        </w:rPr>
      </w:pPr>
      <w:r>
        <w:rPr>
          <w:rFonts w:hint="eastAsia" w:ascii="仿宋_GB2312" w:hAnsi="仿宋_GB2312" w:eastAsia="仿宋_GB2312" w:cs="仿宋_GB2312"/>
          <w:color w:val="000000"/>
          <w:kern w:val="0"/>
          <w:sz w:val="32"/>
          <w:szCs w:val="32"/>
        </w:rPr>
        <w:t>五、</w:t>
      </w:r>
      <w:r>
        <w:rPr>
          <w:rFonts w:hint="eastAsia" w:eastAsia="楷体_GB2312"/>
          <w:color w:val="000000"/>
          <w:sz w:val="32"/>
          <w:szCs w:val="32"/>
          <w:lang w:val="en-US" w:eastAsia="zh-CN"/>
        </w:rPr>
        <w:t>市场监督管理事务</w:t>
      </w:r>
    </w:p>
    <w:p>
      <w:pPr>
        <w:numPr>
          <w:ilvl w:val="0"/>
          <w:numId w:val="0"/>
        </w:numPr>
        <w:ind w:firstLine="960" w:firstLineChars="3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SA"/>
        </w:rPr>
        <w:t>反映市场监督管理事务方面（包括工商管理、质量技术监督、药品、医疗器械、化妆品）的支出。</w:t>
      </w:r>
    </w:p>
    <w:p>
      <w:pPr>
        <w:pStyle w:val="12"/>
        <w:jc w:val="both"/>
        <w:rPr>
          <w:sz w:val="72"/>
          <w:szCs w:val="72"/>
        </w:rPr>
      </w:pPr>
    </w:p>
    <w:p>
      <w:pPr>
        <w:pStyle w:val="12"/>
        <w:jc w:val="center"/>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第五部分</w:t>
      </w:r>
    </w:p>
    <w:p>
      <w:pPr>
        <w:jc w:val="center"/>
        <w:rPr>
          <w:rFonts w:hint="eastAsia" w:ascii="方正小标宋简体" w:hAnsi="方正小标宋简体" w:eastAsia="方正小标宋简体" w:cs="方正小标宋简体"/>
          <w:color w:val="000000"/>
          <w:kern w:val="0"/>
          <w:sz w:val="70"/>
          <w:szCs w:val="70"/>
        </w:rPr>
      </w:pPr>
    </w:p>
    <w:p>
      <w:pPr>
        <w:jc w:val="center"/>
        <w:rPr>
          <w:rFonts w:hint="eastAsia" w:ascii="方正小标宋简体" w:hAnsi="方正小标宋简体" w:eastAsia="方正小标宋简体" w:cs="方正小标宋简体"/>
          <w:color w:val="000000"/>
          <w:kern w:val="0"/>
          <w:sz w:val="70"/>
          <w:szCs w:val="70"/>
        </w:rPr>
      </w:pPr>
      <w:r>
        <w:rPr>
          <w:rFonts w:hint="eastAsia" w:ascii="方正小标宋简体" w:hAnsi="方正小标宋简体" w:eastAsia="方正小标宋简体" w:cs="方正小标宋简体"/>
          <w:color w:val="000000"/>
          <w:kern w:val="0"/>
          <w:sz w:val="70"/>
          <w:szCs w:val="70"/>
        </w:rPr>
        <w:t>附</w:t>
      </w:r>
      <w:r>
        <w:rPr>
          <w:rFonts w:hint="eastAsia" w:ascii="方正小标宋简体" w:hAnsi="方正小标宋简体" w:eastAsia="方正小标宋简体" w:cs="方正小标宋简体"/>
          <w:color w:val="000000"/>
          <w:kern w:val="0"/>
          <w:sz w:val="70"/>
          <w:szCs w:val="70"/>
          <w:lang w:val="en-US" w:eastAsia="zh-CN"/>
        </w:rPr>
        <w:t xml:space="preserve">  </w:t>
      </w:r>
      <w:r>
        <w:rPr>
          <w:rFonts w:hint="eastAsia" w:ascii="方正小标宋简体" w:hAnsi="方正小标宋简体" w:eastAsia="方正小标宋简体" w:cs="方正小标宋简体"/>
          <w:color w:val="000000"/>
          <w:kern w:val="0"/>
          <w:sz w:val="70"/>
          <w:szCs w:val="70"/>
        </w:rPr>
        <w:t>件</w:t>
      </w:r>
    </w:p>
    <w:p>
      <w:pPr>
        <w:widowControl/>
        <w:jc w:val="left"/>
        <w:rPr>
          <w:rFonts w:ascii="黑体" w:eastAsia="黑体" w:cs="黑体"/>
          <w:color w:val="000000"/>
          <w:kern w:val="0"/>
          <w:sz w:val="70"/>
          <w:szCs w:val="70"/>
        </w:rPr>
      </w:pPr>
    </w:p>
    <w:p>
      <w:pPr>
        <w:ind w:firstLine="880" w:firstLineChars="200"/>
        <w:jc w:val="center"/>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2021年度部门整体支出绩效评价报告</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pStyle w:val="2"/>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rPr>
          <w:rFonts w:hint="eastAsia"/>
          <w:lang w:val="en-US" w:eastAsia="zh-CN"/>
        </w:rPr>
      </w:pPr>
      <w:r>
        <w:rPr>
          <w:rFonts w:hint="eastAsia"/>
          <w:lang w:val="en-US" w:eastAsia="zh-CN"/>
        </w:rPr>
        <w:br w:type="page"/>
      </w:r>
    </w:p>
    <w:p>
      <w:pPr>
        <w:rPr>
          <w:rFonts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lang w:eastAsia="zh-CN"/>
        </w:rPr>
      </w:pPr>
      <w:r>
        <w:rPr>
          <w:rFonts w:ascii="Times New Roman" w:hAnsi="Times New Roman" w:eastAsia="方正小标宋_GBK" w:cs="Times New Roman"/>
          <w:b w:val="0"/>
          <w:i w:val="0"/>
          <w:sz w:val="44"/>
          <w:szCs w:val="44"/>
        </w:rPr>
        <w:t>2021</w:t>
      </w:r>
      <w:r>
        <w:rPr>
          <w:rFonts w:ascii="Times New Roman" w:hAnsi="Times New Roman" w:eastAsia="方正小标宋_GBK" w:cs="Times New Roman"/>
          <w:sz w:val="44"/>
          <w:szCs w:val="44"/>
        </w:rPr>
        <w:t>年度</w:t>
      </w:r>
      <w:r>
        <w:rPr>
          <w:rFonts w:hint="eastAsia" w:eastAsia="方正小标宋_GBK" w:cs="Times New Roman"/>
          <w:sz w:val="44"/>
          <w:szCs w:val="44"/>
          <w:lang w:eastAsia="zh-CN"/>
        </w:rPr>
        <w:t>常德市市场监督管理局（</w:t>
      </w:r>
      <w:r>
        <w:rPr>
          <w:rFonts w:hint="eastAsia" w:eastAsia="方正小标宋_GBK" w:cs="Times New Roman"/>
          <w:sz w:val="44"/>
          <w:szCs w:val="44"/>
          <w:lang w:val="en-US" w:eastAsia="zh-CN"/>
        </w:rPr>
        <w:t>系统</w:t>
      </w:r>
      <w:r>
        <w:rPr>
          <w:rFonts w:hint="eastAsia" w:eastAsia="方正小标宋_GBK"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整体支出绩效自评报告</w:t>
      </w:r>
    </w:p>
    <w:p>
      <w:pPr>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一、部门基本情况</w:t>
      </w:r>
    </w:p>
    <w:p>
      <w:pPr>
        <w:widowControl/>
        <w:numPr>
          <w:ilvl w:val="0"/>
          <w:numId w:val="0"/>
        </w:numPr>
        <w:spacing w:line="600" w:lineRule="exact"/>
        <w:ind w:firstLine="320" w:firstLineChars="100"/>
        <w:jc w:val="left"/>
        <w:rPr>
          <w:rFonts w:hint="default" w:ascii="Times New Roman" w:hAnsi="Times New Roman" w:eastAsia="楷体_GB2312" w:cs="Times New Roman"/>
          <w:sz w:val="32"/>
          <w:szCs w:val="32"/>
        </w:rPr>
      </w:pPr>
      <w:r>
        <w:rPr>
          <w:rFonts w:hint="eastAsia" w:eastAsia="楷体_GB2312" w:cs="Times New Roman"/>
          <w:sz w:val="32"/>
          <w:szCs w:val="32"/>
          <w:lang w:eastAsia="zh-CN"/>
        </w:rPr>
        <w:t>（</w:t>
      </w:r>
      <w:r>
        <w:rPr>
          <w:rFonts w:hint="eastAsia" w:eastAsia="楷体_GB2312" w:cs="Times New Roman"/>
          <w:sz w:val="32"/>
          <w:szCs w:val="32"/>
          <w:lang w:val="en-US" w:eastAsia="zh-CN"/>
        </w:rPr>
        <w:t>一</w:t>
      </w:r>
      <w:r>
        <w:rPr>
          <w:rFonts w:hint="eastAsia" w:eastAsia="楷体_GB2312" w:cs="Times New Roman"/>
          <w:sz w:val="32"/>
          <w:szCs w:val="32"/>
          <w:lang w:eastAsia="zh-CN"/>
        </w:rPr>
        <w:t>）</w:t>
      </w:r>
      <w:r>
        <w:rPr>
          <w:rFonts w:hint="default" w:ascii="Times New Roman" w:hAnsi="Times New Roman" w:eastAsia="楷体_GB2312" w:cs="Times New Roman"/>
          <w:sz w:val="32"/>
          <w:szCs w:val="32"/>
        </w:rPr>
        <w:t>机构、人员构成</w:t>
      </w:r>
    </w:p>
    <w:p>
      <w:pPr>
        <w:pStyle w:val="7"/>
        <w:keepNext w:val="0"/>
        <w:keepLines w:val="0"/>
        <w:widowControl/>
        <w:suppressLineNumbers w:val="0"/>
        <w:spacing w:line="27" w:lineRule="atLeas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根据市编委办核定，市市场监管局内设科室</w:t>
      </w:r>
      <w:r>
        <w:rPr>
          <w:rFonts w:hint="eastAsia" w:ascii="Times New Roman" w:hAnsi="Times New Roman" w:eastAsia="仿宋_GB2312" w:cs="Times New Roman"/>
          <w:b w:val="0"/>
          <w:i w:val="0"/>
          <w:kern w:val="2"/>
          <w:sz w:val="32"/>
          <w:szCs w:val="32"/>
          <w:lang w:val="en-US" w:eastAsia="zh-CN" w:bidi="ar-SA"/>
        </w:rPr>
        <w:t>34</w:t>
      </w:r>
      <w:r>
        <w:rPr>
          <w:rFonts w:hint="eastAsia" w:ascii="Times New Roman" w:hAnsi="Times New Roman" w:eastAsia="仿宋_GB2312" w:cs="Times New Roman"/>
          <w:kern w:val="2"/>
          <w:sz w:val="32"/>
          <w:szCs w:val="32"/>
          <w:lang w:val="en-US" w:eastAsia="zh-CN" w:bidi="ar-SA"/>
        </w:rPr>
        <w:t>个（</w:t>
      </w:r>
      <w:r>
        <w:rPr>
          <w:rFonts w:hint="eastAsia" w:ascii="Times New Roman" w:hAnsi="Times New Roman" w:eastAsia="仿宋_GB2312" w:cs="Times New Roman"/>
          <w:b w:val="0"/>
          <w:i w:val="0"/>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个科室合署办公），</w:t>
      </w:r>
      <w:r>
        <w:rPr>
          <w:rFonts w:hint="eastAsia" w:ascii="Times New Roman" w:hAnsi="Times New Roman" w:eastAsia="仿宋_GB2312" w:cs="Times New Roman"/>
          <w:b w:val="0"/>
          <w:i w:val="0"/>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个直属机关党委，</w:t>
      </w:r>
      <w:r>
        <w:rPr>
          <w:rFonts w:hint="eastAsia" w:ascii="Times New Roman" w:hAnsi="Times New Roman" w:eastAsia="仿宋_GB2312" w:cs="Times New Roman"/>
          <w:b w:val="0"/>
          <w:i w:val="0"/>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个离退休人员管理服务科。所属事业单位</w:t>
      </w:r>
      <w:r>
        <w:rPr>
          <w:rFonts w:hint="eastAsia" w:ascii="Times New Roman" w:hAnsi="Times New Roman" w:eastAsia="仿宋_GB2312" w:cs="Times New Roman"/>
          <w:b w:val="0"/>
          <w:i w:val="0"/>
          <w:kern w:val="2"/>
          <w:sz w:val="32"/>
          <w:szCs w:val="32"/>
          <w:lang w:val="en-US" w:eastAsia="zh-CN" w:bidi="ar-SA"/>
        </w:rPr>
        <w:t>11</w:t>
      </w:r>
      <w:r>
        <w:rPr>
          <w:rFonts w:hint="eastAsia" w:ascii="Times New Roman" w:hAnsi="Times New Roman" w:eastAsia="仿宋_GB2312" w:cs="Times New Roman"/>
          <w:kern w:val="2"/>
          <w:sz w:val="32"/>
          <w:szCs w:val="32"/>
          <w:lang w:val="en-US" w:eastAsia="zh-CN" w:bidi="ar-SA"/>
        </w:rPr>
        <w:t>个</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其中非独立核算事业单位</w:t>
      </w:r>
      <w:r>
        <w:rPr>
          <w:rFonts w:hint="eastAsia" w:cs="Times New Roman"/>
          <w:b w:val="0"/>
          <w:i w:val="0"/>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个</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独立核算事业单位</w:t>
      </w:r>
      <w:r>
        <w:rPr>
          <w:rFonts w:hint="eastAsia" w:cs="Times New Roman"/>
          <w:b w:val="0"/>
          <w:i w:val="0"/>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个。</w:t>
      </w:r>
    </w:p>
    <w:p>
      <w:pPr>
        <w:pStyle w:val="7"/>
        <w:keepNext w:val="0"/>
        <w:keepLines w:val="0"/>
        <w:widowControl/>
        <w:suppressLineNumbers w:val="0"/>
        <w:spacing w:line="27" w:lineRule="atLeas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设科室分别是：办公室、人事科、财务科（科技科与其合署办公）、综合研究室、法制科、信用监督管理科、网络交易监督管理科、广告监督管理科、质量发展科、产品质量安全监督管理科、食品安全协调科、食品生产安全监督管理科、食品流通监督管理科、食品消费监督管理科、食品安全抽检监测科、特殊食品安全监督管理科、特种设备安全监察科（特种设备事故调查处理办公室）、计量科、标准化科、认证监督管理科、知识产权促进科、知识产权保护科、知识产权运用科、消费者权益保护科、价格监督检查与反不正当竞争科、新闻宣传与应急管理科、药品注册管理和科技科、药品生产监督管理科、药品流通监督管理科、医疗器械监督管理科、化妆品监督管理科、行政审批服务办公室（登记注册科与其合署办公）、投诉举报办公室、非公经济组织党建指导科（民营经济发展科与其合署办公）、直属机关党委（机关纪委与其合属办公）、离退休人员管理服务科。</w:t>
      </w:r>
    </w:p>
    <w:p>
      <w:pPr>
        <w:pStyle w:val="7"/>
        <w:keepNext w:val="0"/>
        <w:keepLines w:val="0"/>
        <w:widowControl/>
        <w:suppressLineNumbers w:val="0"/>
        <w:spacing w:line="27" w:lineRule="atLeas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机关工会根据组织部同意设立机关工会主席，由正科级实职担任。</w:t>
      </w:r>
    </w:p>
    <w:p>
      <w:pPr>
        <w:pStyle w:val="7"/>
        <w:keepNext w:val="0"/>
        <w:keepLines w:val="0"/>
        <w:widowControl/>
        <w:suppressLineNumbers w:val="0"/>
        <w:spacing w:line="27" w:lineRule="atLeas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所属非独立核算事业单位分别是：市市场监管综合行政执法支队；市食品药品审评认证与不良反应监测中心、市市场监管局信息中心、市个体私营经济发展指导中心、市消费者权益保护委员会秘书处。</w:t>
      </w:r>
    </w:p>
    <w:p>
      <w:pPr>
        <w:pStyle w:val="7"/>
        <w:keepNext w:val="0"/>
        <w:keepLines w:val="0"/>
        <w:widowControl/>
        <w:suppressLineNumbers w:val="0"/>
        <w:spacing w:line="27" w:lineRule="atLeast"/>
        <w:ind w:firstLine="640" w:firstLineChars="200"/>
        <w:jc w:val="left"/>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所属独立核算二级单位分别是：市产商品质量监督检验所、市计量测试检定所、</w:t>
      </w:r>
      <w:r>
        <w:rPr>
          <w:rFonts w:hint="eastAsia" w:cs="Times New Roman"/>
          <w:kern w:val="2"/>
          <w:sz w:val="32"/>
          <w:szCs w:val="32"/>
          <w:lang w:val="en-US" w:eastAsia="zh-CN" w:bidi="ar-SA"/>
        </w:rPr>
        <w:t>常德市纤维质量监测中心</w:t>
      </w:r>
      <w:r>
        <w:rPr>
          <w:rFonts w:hint="eastAsia" w:ascii="Times New Roman" w:hAnsi="Times New Roman" w:eastAsia="仿宋_GB2312" w:cs="Times New Roman"/>
          <w:kern w:val="2"/>
          <w:sz w:val="32"/>
          <w:szCs w:val="32"/>
          <w:lang w:val="en-US" w:eastAsia="zh-CN" w:bidi="ar-SA"/>
        </w:rPr>
        <w:t>、市质量技术监督信息管理所、市食品检验所、市食品</w:t>
      </w:r>
      <w:r>
        <w:rPr>
          <w:rFonts w:hint="eastAsia" w:ascii="Times New Roman" w:hAnsi="Times New Roman" w:eastAsia="仿宋_GB2312" w:cs="Times New Roman"/>
          <w:kern w:val="2"/>
          <w:sz w:val="32"/>
          <w:szCs w:val="32"/>
          <w:highlight w:val="none"/>
          <w:lang w:val="en-US" w:eastAsia="zh-CN" w:bidi="ar-SA"/>
        </w:rPr>
        <w:t>药品检验所。</w:t>
      </w:r>
    </w:p>
    <w:p>
      <w:pPr>
        <w:pStyle w:val="7"/>
        <w:keepNext w:val="0"/>
        <w:keepLines w:val="0"/>
        <w:widowControl/>
        <w:suppressLineNumbers w:val="0"/>
        <w:spacing w:line="27" w:lineRule="atLeas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highlight w:val="none"/>
          <w:lang w:val="en-US" w:eastAsia="zh-CN" w:bidi="ar-SA"/>
        </w:rPr>
        <w:t>根据常德市委编办批复，</w:t>
      </w:r>
      <w:r>
        <w:rPr>
          <w:rFonts w:hint="eastAsia" w:cs="Times New Roman"/>
          <w:kern w:val="2"/>
          <w:sz w:val="32"/>
          <w:szCs w:val="32"/>
          <w:highlight w:val="none"/>
          <w:lang w:val="en-US" w:eastAsia="zh-CN" w:bidi="ar-SA"/>
        </w:rPr>
        <w:t>我单位</w:t>
      </w:r>
      <w:r>
        <w:rPr>
          <w:rFonts w:hint="eastAsia" w:ascii="Times New Roman" w:hAnsi="Times New Roman" w:eastAsia="仿宋_GB2312" w:cs="Times New Roman"/>
          <w:kern w:val="2"/>
          <w:sz w:val="32"/>
          <w:szCs w:val="32"/>
          <w:highlight w:val="none"/>
          <w:lang w:val="en-US" w:eastAsia="zh-CN" w:bidi="ar-SA"/>
        </w:rPr>
        <w:t>编制</w:t>
      </w:r>
      <w:r>
        <w:rPr>
          <w:rFonts w:hint="eastAsia" w:cs="Times New Roman"/>
          <w:b w:val="0"/>
          <w:i w:val="0"/>
          <w:kern w:val="2"/>
          <w:sz w:val="32"/>
          <w:szCs w:val="32"/>
          <w:highlight w:val="none"/>
          <w:lang w:val="en-US" w:eastAsia="zh-CN" w:bidi="ar-SA"/>
        </w:rPr>
        <w:t>441</w:t>
      </w:r>
      <w:r>
        <w:rPr>
          <w:rFonts w:hint="eastAsia" w:ascii="Times New Roman" w:hAnsi="Times New Roman" w:eastAsia="仿宋_GB2312" w:cs="Times New Roman"/>
          <w:kern w:val="2"/>
          <w:sz w:val="32"/>
          <w:szCs w:val="32"/>
          <w:highlight w:val="none"/>
          <w:lang w:val="en-US" w:eastAsia="zh-CN" w:bidi="ar-SA"/>
        </w:rPr>
        <w:t>人，其中行政编制</w:t>
      </w:r>
      <w:r>
        <w:rPr>
          <w:rFonts w:hint="eastAsia" w:cs="Times New Roman"/>
          <w:b w:val="0"/>
          <w:i w:val="0"/>
          <w:kern w:val="2"/>
          <w:sz w:val="32"/>
          <w:szCs w:val="32"/>
          <w:highlight w:val="none"/>
          <w:lang w:val="en-US" w:eastAsia="zh-CN" w:bidi="ar-SA"/>
        </w:rPr>
        <w:t>119</w:t>
      </w:r>
      <w:r>
        <w:rPr>
          <w:rFonts w:hint="eastAsia" w:ascii="Times New Roman" w:hAnsi="Times New Roman" w:eastAsia="仿宋_GB2312" w:cs="Times New Roman"/>
          <w:kern w:val="2"/>
          <w:sz w:val="32"/>
          <w:szCs w:val="32"/>
          <w:highlight w:val="none"/>
          <w:lang w:val="en-US" w:eastAsia="zh-CN" w:bidi="ar-SA"/>
        </w:rPr>
        <w:t>人、</w:t>
      </w:r>
      <w:r>
        <w:rPr>
          <w:rFonts w:hint="eastAsia" w:cs="Times New Roman"/>
          <w:kern w:val="2"/>
          <w:sz w:val="32"/>
          <w:szCs w:val="32"/>
          <w:highlight w:val="none"/>
          <w:lang w:val="en-US" w:eastAsia="zh-CN" w:bidi="ar-SA"/>
        </w:rPr>
        <w:t>参公人员编制</w:t>
      </w:r>
      <w:r>
        <w:rPr>
          <w:rFonts w:hint="eastAsia" w:cs="Times New Roman"/>
          <w:b w:val="0"/>
          <w:i w:val="0"/>
          <w:kern w:val="2"/>
          <w:sz w:val="32"/>
          <w:szCs w:val="32"/>
          <w:highlight w:val="none"/>
          <w:lang w:val="en-US" w:eastAsia="zh-CN" w:bidi="ar-SA"/>
        </w:rPr>
        <w:t>172</w:t>
      </w:r>
      <w:r>
        <w:rPr>
          <w:rFonts w:hint="eastAsia" w:ascii="Times New Roman" w:hAnsi="Times New Roman" w:eastAsia="仿宋_GB2312" w:cs="Times New Roman"/>
          <w:kern w:val="2"/>
          <w:sz w:val="32"/>
          <w:szCs w:val="32"/>
          <w:highlight w:val="none"/>
          <w:lang w:val="en-US" w:eastAsia="zh-CN" w:bidi="ar-SA"/>
        </w:rPr>
        <w:t>人</w:t>
      </w:r>
      <w:r>
        <w:rPr>
          <w:rFonts w:hint="eastAsia"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事业编制</w:t>
      </w:r>
      <w:r>
        <w:rPr>
          <w:rFonts w:hint="eastAsia" w:ascii="Times New Roman" w:hAnsi="Times New Roman" w:cs="Times New Roman"/>
          <w:kern w:val="2"/>
          <w:sz w:val="32"/>
          <w:szCs w:val="32"/>
          <w:highlight w:val="none"/>
          <w:lang w:val="en-US" w:eastAsia="zh-CN" w:bidi="ar-SA"/>
        </w:rPr>
        <w:t>150人</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b w:val="0"/>
          <w:i w:val="0"/>
          <w:kern w:val="2"/>
          <w:sz w:val="32"/>
          <w:szCs w:val="32"/>
          <w:highlight w:val="none"/>
          <w:lang w:val="en-US" w:eastAsia="zh-CN" w:bidi="ar-SA"/>
        </w:rPr>
        <w:t>2</w:t>
      </w:r>
      <w:r>
        <w:rPr>
          <w:rFonts w:hint="eastAsia" w:ascii="Times New Roman" w:hAnsi="Times New Roman" w:eastAsia="仿宋_GB2312" w:cs="Times New Roman"/>
          <w:b w:val="0"/>
          <w:i w:val="0"/>
          <w:kern w:val="2"/>
          <w:sz w:val="32"/>
          <w:szCs w:val="32"/>
          <w:lang w:val="en-US" w:eastAsia="zh-CN" w:bidi="ar-SA"/>
        </w:rPr>
        <w:t>021</w:t>
      </w:r>
      <w:r>
        <w:rPr>
          <w:rFonts w:hint="eastAsia" w:ascii="Times New Roman" w:hAnsi="Times New Roman" w:eastAsia="仿宋_GB2312" w:cs="Times New Roman"/>
          <w:kern w:val="2"/>
          <w:sz w:val="32"/>
          <w:szCs w:val="32"/>
          <w:lang w:val="en-US" w:eastAsia="zh-CN" w:bidi="ar-SA"/>
        </w:rPr>
        <w:t>年</w:t>
      </w:r>
      <w:r>
        <w:rPr>
          <w:rFonts w:hint="eastAsia" w:cs="Times New Roman"/>
          <w:kern w:val="2"/>
          <w:sz w:val="32"/>
          <w:szCs w:val="32"/>
          <w:lang w:val="en-US" w:eastAsia="zh-CN" w:bidi="ar-SA"/>
        </w:rPr>
        <w:t>我单位</w:t>
      </w:r>
      <w:r>
        <w:rPr>
          <w:rFonts w:hint="eastAsia" w:ascii="Times New Roman" w:hAnsi="Times New Roman" w:eastAsia="仿宋_GB2312" w:cs="Times New Roman"/>
          <w:kern w:val="2"/>
          <w:sz w:val="32"/>
          <w:szCs w:val="32"/>
          <w:highlight w:val="none"/>
          <w:lang w:val="en-US" w:eastAsia="zh-CN" w:bidi="ar-SA"/>
        </w:rPr>
        <w:t>年末实有在职人数</w:t>
      </w:r>
      <w:r>
        <w:rPr>
          <w:rFonts w:hint="eastAsia" w:cs="Times New Roman"/>
          <w:b w:val="0"/>
          <w:i w:val="0"/>
          <w:kern w:val="2"/>
          <w:sz w:val="32"/>
          <w:szCs w:val="32"/>
          <w:highlight w:val="none"/>
          <w:lang w:val="en-US" w:eastAsia="zh-CN" w:bidi="ar-SA"/>
        </w:rPr>
        <w:t>397</w:t>
      </w:r>
      <w:r>
        <w:rPr>
          <w:rFonts w:hint="eastAsia" w:ascii="Times New Roman" w:hAnsi="Times New Roman" w:eastAsia="仿宋_GB2312" w:cs="Times New Roman"/>
          <w:kern w:val="2"/>
          <w:sz w:val="32"/>
          <w:szCs w:val="32"/>
          <w:highlight w:val="none"/>
          <w:lang w:val="en-US" w:eastAsia="zh-CN" w:bidi="ar-SA"/>
        </w:rPr>
        <w:t>人，其中行政编制</w:t>
      </w:r>
      <w:r>
        <w:rPr>
          <w:rFonts w:hint="eastAsia" w:ascii="Times New Roman" w:hAnsi="Times New Roman" w:eastAsia="仿宋_GB2312" w:cs="Times New Roman"/>
          <w:b w:val="0"/>
          <w:i w:val="0"/>
          <w:kern w:val="2"/>
          <w:sz w:val="32"/>
          <w:szCs w:val="32"/>
          <w:highlight w:val="none"/>
          <w:lang w:val="en-US" w:eastAsia="zh-CN" w:bidi="ar-SA"/>
        </w:rPr>
        <w:t>122</w:t>
      </w:r>
      <w:r>
        <w:rPr>
          <w:rFonts w:hint="eastAsia" w:ascii="Times New Roman" w:hAnsi="Times New Roman" w:eastAsia="仿宋_GB2312" w:cs="Times New Roman"/>
          <w:kern w:val="2"/>
          <w:sz w:val="32"/>
          <w:szCs w:val="32"/>
          <w:highlight w:val="none"/>
          <w:lang w:val="en-US" w:eastAsia="zh-CN" w:bidi="ar-SA"/>
        </w:rPr>
        <w:t>人，参公人员编制</w:t>
      </w:r>
      <w:r>
        <w:rPr>
          <w:rFonts w:hint="eastAsia" w:cs="Times New Roman"/>
          <w:b w:val="0"/>
          <w:i w:val="0"/>
          <w:kern w:val="2"/>
          <w:sz w:val="32"/>
          <w:szCs w:val="32"/>
          <w:highlight w:val="none"/>
          <w:lang w:val="en-US" w:eastAsia="zh-CN" w:bidi="ar-SA"/>
        </w:rPr>
        <w:t>125</w:t>
      </w:r>
      <w:r>
        <w:rPr>
          <w:rFonts w:hint="eastAsia" w:ascii="Times New Roman" w:hAnsi="Times New Roman" w:eastAsia="仿宋_GB2312" w:cs="Times New Roman"/>
          <w:kern w:val="2"/>
          <w:sz w:val="32"/>
          <w:szCs w:val="32"/>
          <w:highlight w:val="none"/>
          <w:lang w:val="en-US" w:eastAsia="zh-CN" w:bidi="ar-SA"/>
        </w:rPr>
        <w:t>人，事业编制人员</w:t>
      </w:r>
      <w:r>
        <w:rPr>
          <w:rFonts w:hint="eastAsia" w:cs="Times New Roman"/>
          <w:b w:val="0"/>
          <w:i w:val="0"/>
          <w:kern w:val="2"/>
          <w:sz w:val="32"/>
          <w:szCs w:val="32"/>
          <w:highlight w:val="none"/>
          <w:lang w:val="en-US" w:eastAsia="zh-CN" w:bidi="ar-SA"/>
        </w:rPr>
        <w:t>150</w:t>
      </w:r>
      <w:r>
        <w:rPr>
          <w:rFonts w:hint="eastAsia" w:ascii="Times New Roman" w:hAnsi="Times New Roman" w:eastAsia="仿宋_GB2312" w:cs="Times New Roman"/>
          <w:kern w:val="2"/>
          <w:sz w:val="32"/>
          <w:szCs w:val="32"/>
          <w:highlight w:val="none"/>
          <w:lang w:val="en-US" w:eastAsia="zh-CN" w:bidi="ar-SA"/>
        </w:rPr>
        <w:t>人。</w:t>
      </w:r>
      <w:r>
        <w:rPr>
          <w:rFonts w:hint="eastAsia" w:ascii="Times New Roman" w:hAnsi="Times New Roman" w:eastAsia="仿宋_GB2312" w:cs="Times New Roman"/>
          <w:kern w:val="2"/>
          <w:sz w:val="32"/>
          <w:szCs w:val="32"/>
          <w:lang w:val="en-US" w:eastAsia="zh-CN" w:bidi="ar-SA"/>
        </w:rPr>
        <w:t>离休</w:t>
      </w:r>
      <w:r>
        <w:rPr>
          <w:rFonts w:hint="eastAsia" w:cs="Times New Roman"/>
          <w:b w:val="0"/>
          <w:i w:val="0"/>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人，退休</w:t>
      </w:r>
      <w:r>
        <w:rPr>
          <w:rFonts w:hint="eastAsia" w:cs="Times New Roman"/>
          <w:b w:val="0"/>
          <w:i w:val="0"/>
          <w:kern w:val="2"/>
          <w:sz w:val="32"/>
          <w:szCs w:val="32"/>
          <w:lang w:val="en-US" w:eastAsia="zh-CN" w:bidi="ar-SA"/>
        </w:rPr>
        <w:t>257</w:t>
      </w:r>
      <w:r>
        <w:rPr>
          <w:rFonts w:hint="eastAsia" w:ascii="Times New Roman" w:hAnsi="Times New Roman" w:eastAsia="仿宋_GB2312" w:cs="Times New Roman"/>
          <w:kern w:val="2"/>
          <w:sz w:val="32"/>
          <w:szCs w:val="32"/>
          <w:lang w:val="en-US" w:eastAsia="zh-CN" w:bidi="ar-SA"/>
        </w:rPr>
        <w:t>人。</w:t>
      </w:r>
    </w:p>
    <w:p>
      <w:pPr>
        <w:pStyle w:val="7"/>
        <w:keepNext w:val="0"/>
        <w:keepLines w:val="0"/>
        <w:widowControl/>
        <w:suppressLineNumbers w:val="0"/>
        <w:spacing w:line="27" w:lineRule="atLeast"/>
        <w:ind w:firstLine="640" w:firstLineChars="200"/>
        <w:jc w:val="left"/>
        <w:rPr>
          <w:sz w:val="32"/>
          <w:szCs w:val="32"/>
        </w:rPr>
      </w:pPr>
      <w:r>
        <w:rPr>
          <w:rFonts w:hint="default" w:ascii="Times New Roman" w:hAnsi="Times New Roman" w:eastAsia="楷体_GB2312" w:cs="Times New Roman"/>
          <w:sz w:val="32"/>
          <w:szCs w:val="32"/>
        </w:rPr>
        <w:t>（二）单位主要职责</w:t>
      </w:r>
    </w:p>
    <w:p>
      <w:pPr>
        <w:pStyle w:val="7"/>
        <w:keepNext w:val="0"/>
        <w:keepLines w:val="0"/>
        <w:widowControl/>
        <w:suppressLineNumbers w:val="0"/>
        <w:spacing w:line="27" w:lineRule="atLeas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根据《中共常德市委办公室常德市人民政府办公室关于印发&lt;常德市市场监督管理局职能配置、内设机构和人员编制规定&gt;的通知》（常办﹝</w:t>
      </w:r>
      <w:r>
        <w:rPr>
          <w:rFonts w:hint="eastAsia" w:ascii="Times New Roman" w:hAnsi="Times New Roman" w:eastAsia="仿宋_GB2312" w:cs="Times New Roman"/>
          <w:b w:val="0"/>
          <w:i w:val="0"/>
          <w:kern w:val="2"/>
          <w:sz w:val="32"/>
          <w:szCs w:val="32"/>
          <w:lang w:val="en-US" w:eastAsia="zh-CN" w:bidi="ar-SA"/>
        </w:rPr>
        <w:t>2019</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b w:val="0"/>
          <w:i w:val="0"/>
          <w:kern w:val="2"/>
          <w:sz w:val="32"/>
          <w:szCs w:val="32"/>
          <w:lang w:val="en-US" w:eastAsia="zh-CN" w:bidi="ar-SA"/>
        </w:rPr>
        <w:t>29</w:t>
      </w:r>
      <w:r>
        <w:rPr>
          <w:rFonts w:hint="eastAsia" w:ascii="Times New Roman" w:hAnsi="Times New Roman" w:eastAsia="仿宋_GB2312" w:cs="Times New Roman"/>
          <w:kern w:val="2"/>
          <w:sz w:val="32"/>
          <w:szCs w:val="32"/>
          <w:lang w:val="en-US" w:eastAsia="zh-CN" w:bidi="ar-SA"/>
        </w:rPr>
        <w:t>号，以下简称《三定方案》），新组建常德市市场监督管理局（以下简称市市场监管局），为正处级单位，加挂常德市知识产权局（以下简称市知识产权局）牌子。具体部门职责如下：</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、负责市场综合监督管理。贯彻执行市场监督管理的方针政策和法律法规，拟订并组织实施全市市场监督管理工作规划、规范性文件，规范和维护市场秩序，营造诚实守信、公平竞争的市场环境。</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负责市场主体统一登记注册。指导各类企业（包括授权范围内的外商投资企业）、农民专业合作社和从事经营活动的单位、个体工商户等市场主体的登记注册工作。建立市场主体信息公示和共享机制，依法公示和共享有关信息，加强信用监管，推动市场主体信用体系建设。</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、负责组织和指导市场监管综合执法工作。指导全市市场监管综合执法队伍整合和建设，推动实行统一的市场监管。组织查处跨区域及其他重大违法案件。规范市场监管行政执法行为。</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负责反垄断统一执法。负责组织协调反倾销、反补贴保障措施等与进出口公平贸易相关的工作，协助开展对外贸易调查和产业损害调查，指导协调产业安全应对工作；协助对经营者集中行为进行反垄断审查，指导企业在国外的反垄断应诉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负责监督管理市场秩序。依法监督管理市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负责宏观质量管理。贯彻国家、省质量发展的有关政策，拟订推进质量发展战略的政策措施并组织实施。完善质量奖励制度；负责政府质量工作考核；会同有关部门组织实施重大工程设施及工程设备质量监理制度，组织重大质量事故调查，实施缺陷产品召回制度，监督管理产品防伪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负责产品质量安全监督管理。负责产品质量安全强制检验、风险监控、监督抽查、定期监督检查等相关工作。落实质量分级制度、质量安全追溯制度。负责纤维质量监督管理工作。负责工业产品生产许可管理。负责机动车安全检验技术检验机构监督管理工作。负责产品质量安全仲裁检验、鉴定监督管理工作。负责产品质量专项整治和打击假冒伪劣违法行为，依法查处产品质量违法行为。组织协调有关专项打假活动。</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、负责特种设备安全监督管理。综合管理特种设备安全监察、监督工作。监督检查高能耗特种设备节能标准和锅炉环境保护标准的执行情况。按照法定权限组织调查处理特种设备事故并进行统计分析。</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负责食品安全监督管理综合协调。组织拟定食品安全有关措施办法并组织实施。负责食品安全应急体系建设，组织指导食品安全事故应急处置和调查处理工作，监督事故查处落实情况。建立健全食品安全重要信息直报制度。承担市食品安全委员会日常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负责食品安全监督管理。建立覆盖食品生产、流通、消费全过程的监督检查制度和隐患排查治理机制并组织实施，防范区域性、系统性食品安全风险。推动建立食品生产经营者落实主体责任机制，健全食品安全追溯体系。组织开展食品安全监督抽验、核查处置、风险调查、风险交流工作。组织实施特殊食品备案和监督管理。负责食盐专营管理和食盐安全监督管理。</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11</w:t>
      </w:r>
      <w:r>
        <w:rPr>
          <w:rFonts w:hint="eastAsia" w:ascii="Times New Roman" w:hAnsi="Times New Roman" w:eastAsia="仿宋_GB2312" w:cs="Times New Roman"/>
          <w:kern w:val="2"/>
          <w:sz w:val="32"/>
          <w:szCs w:val="32"/>
          <w:lang w:val="en-US" w:eastAsia="zh-CN" w:bidi="ar-SA"/>
        </w:rPr>
        <w:t>、负责统一管理计量工作。推行法定计量单位和国家计量制度。依职责管理计量器具及量值传递和比对工作。规范、监督商品量和市场计量行为。</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负责统一管理标准化工作。依法承担地方标准的立项、编号和发布工作，指导开展标准化试点示范工作。依据法定职责，对标准的制定进行指导监督，对标准的实施进行监督检查。推行采用国际标准。承担企业法人统一社会信用代码、商品条码及法人数据库相关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13</w:t>
      </w:r>
      <w:r>
        <w:rPr>
          <w:rFonts w:hint="eastAsia" w:ascii="Times New Roman" w:hAnsi="Times New Roman" w:eastAsia="仿宋_GB2312" w:cs="Times New Roman"/>
          <w:kern w:val="2"/>
          <w:sz w:val="32"/>
          <w:szCs w:val="32"/>
          <w:lang w:val="en-US" w:eastAsia="zh-CN" w:bidi="ar-SA"/>
        </w:rPr>
        <w:t>、负责统一管理认证认可工作。依法对检验检测机构、检查机构资质资格及其检验活动进行监督管理，依法监督管理认证中介机构，依法监督管理体系认证和产品认证工作。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14</w:t>
      </w:r>
      <w:r>
        <w:rPr>
          <w:rFonts w:hint="eastAsia" w:ascii="Times New Roman" w:hAnsi="Times New Roman" w:eastAsia="仿宋_GB2312" w:cs="Times New Roman"/>
          <w:kern w:val="2"/>
          <w:sz w:val="32"/>
          <w:szCs w:val="32"/>
          <w:lang w:val="en-US" w:eastAsia="zh-CN" w:bidi="ar-SA"/>
        </w:rPr>
        <w:t>、负责市场监督管理、知识产权领域科技和信息化建设、新闻宣传、对外交流与合作。按规定承担技术性贸易措施有关工作。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15</w:t>
      </w:r>
      <w:r>
        <w:rPr>
          <w:rFonts w:hint="eastAsia" w:ascii="Times New Roman" w:hAnsi="Times New Roman" w:eastAsia="仿宋_GB2312" w:cs="Times New Roman"/>
          <w:kern w:val="2"/>
          <w:sz w:val="32"/>
          <w:szCs w:val="32"/>
          <w:lang w:val="en-US" w:eastAsia="zh-CN" w:bidi="ar-SA"/>
        </w:rPr>
        <w:t>、负责实施知识产权战略，推进知识产权强市建设。拟定实施知识产权创造、保护、运用的措施。负责知识产权公共服务体系建设，推动知识产权信息传播利用。</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16</w:t>
      </w:r>
      <w:r>
        <w:rPr>
          <w:rFonts w:hint="eastAsia" w:ascii="Times New Roman" w:hAnsi="Times New Roman" w:eastAsia="仿宋_GB2312" w:cs="Times New Roman"/>
          <w:kern w:val="2"/>
          <w:sz w:val="32"/>
          <w:szCs w:val="32"/>
          <w:lang w:val="en-US" w:eastAsia="zh-CN" w:bidi="ar-SA"/>
        </w:rPr>
        <w:t>、负责保护知识产权。落实严格保护商标、专利、原产地地理标志等相关工作，负责知识产权保护体系建设，组织指导商标、专利执法工作。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17</w:t>
      </w:r>
      <w:r>
        <w:rPr>
          <w:rFonts w:hint="eastAsia" w:ascii="Times New Roman" w:hAnsi="Times New Roman" w:eastAsia="仿宋_GB2312" w:cs="Times New Roman"/>
          <w:kern w:val="2"/>
          <w:sz w:val="32"/>
          <w:szCs w:val="32"/>
          <w:lang w:val="en-US" w:eastAsia="zh-CN" w:bidi="ar-SA"/>
        </w:rPr>
        <w:t>、负责知识产权创造运用。按权限负责商标、专利和原产地地理标志的管理，开展知识产权运营体系建设，指导重大经济活动知识产权评议，规范知识产权交易和无形资产评估，促进知识产权转移转化。</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18</w:t>
      </w:r>
      <w:r>
        <w:rPr>
          <w:rFonts w:hint="eastAsia" w:ascii="Times New Roman" w:hAnsi="Times New Roman" w:eastAsia="仿宋_GB2312" w:cs="Times New Roman"/>
          <w:kern w:val="2"/>
          <w:sz w:val="32"/>
          <w:szCs w:val="32"/>
          <w:lang w:val="en-US" w:eastAsia="zh-CN" w:bidi="ar-SA"/>
        </w:rPr>
        <w:t>、负责组织开展消费维权工作，查处制售假冒伪劣等违法行为，指导消费者咨询、申诉、举报受理、处理和网络体系建设等工作，保护经营者、消费者合法权益。</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19</w:t>
      </w:r>
      <w:r>
        <w:rPr>
          <w:rFonts w:hint="eastAsia" w:ascii="Times New Roman" w:hAnsi="Times New Roman" w:eastAsia="仿宋_GB2312" w:cs="Times New Roman"/>
          <w:kern w:val="2"/>
          <w:sz w:val="32"/>
          <w:szCs w:val="32"/>
          <w:lang w:val="en-US" w:eastAsia="zh-CN" w:bidi="ar-SA"/>
        </w:rPr>
        <w:t>、负责权限内食品、药品、医疗器械、化妆品行政许可；负责药品、医疗器械、保健食品广告内容的监督检查。</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负责监督实施药品和医疗器械标准、分类管理制度；负责配合上级部门监督实施药品和医疗器械研制、生产、经营、使用质量管理规范；配合上级部门监督实施药品、医疗器械注册制度；负责建立药品不良反应、医疗器械不良事件监测体系，组织开展监测和处置工作；配合上级部门开展药品、医疗器械再评价和淘汰相关工作；监督实施执业药师制度；配合有关部门实施国家基本药物制度。</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21</w:t>
      </w:r>
      <w:r>
        <w:rPr>
          <w:rFonts w:hint="eastAsia" w:ascii="Times New Roman" w:hAnsi="Times New Roman" w:eastAsia="仿宋_GB2312" w:cs="Times New Roman"/>
          <w:kern w:val="2"/>
          <w:sz w:val="32"/>
          <w:szCs w:val="32"/>
          <w:lang w:val="en-US" w:eastAsia="zh-CN" w:bidi="ar-SA"/>
        </w:rPr>
        <w:t>、制定全市药品、医疗器械、化妆品监督管理的稽查制度并组织实施；依法组织查处药品、医疗器械、化妆品违法行为；组织开展相关质量抽验并发布有关信息；依法处理有关药品、医疗器械、化妆品安全的咨询、投诉、举报；监督实施问题产品召回和处置制度。</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22</w:t>
      </w:r>
      <w:r>
        <w:rPr>
          <w:rFonts w:hint="eastAsia" w:ascii="Times New Roman" w:hAnsi="Times New Roman" w:eastAsia="仿宋_GB2312" w:cs="Times New Roman"/>
          <w:kern w:val="2"/>
          <w:sz w:val="32"/>
          <w:szCs w:val="32"/>
          <w:lang w:val="en-US" w:eastAsia="zh-CN" w:bidi="ar-SA"/>
        </w:rPr>
        <w:t>、依法承担放射性药品、麻醉药品、毒性药品及精神药品、药品类易制毒化学品的监督管理工作。</w:t>
      </w:r>
    </w:p>
    <w:p>
      <w:pPr>
        <w:pStyle w:val="7"/>
        <w:keepNext w:val="0"/>
        <w:keepLines w:val="0"/>
        <w:widowControl/>
        <w:suppressLineNumbers w:val="0"/>
        <w:spacing w:line="27" w:lineRule="atLeas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b w:val="0"/>
          <w:i w:val="0"/>
          <w:kern w:val="2"/>
          <w:sz w:val="32"/>
          <w:szCs w:val="32"/>
          <w:lang w:val="en-US" w:eastAsia="zh-CN" w:bidi="ar-SA"/>
        </w:rPr>
        <w:t>23</w:t>
      </w:r>
      <w:r>
        <w:rPr>
          <w:rFonts w:hint="eastAsia" w:ascii="Times New Roman" w:hAnsi="Times New Roman" w:eastAsia="仿宋_GB2312" w:cs="Times New Roman"/>
          <w:kern w:val="2"/>
          <w:sz w:val="32"/>
          <w:szCs w:val="32"/>
          <w:lang w:val="en-US" w:eastAsia="zh-CN" w:bidi="ar-SA"/>
        </w:rPr>
        <w:t>、完成市委、市政府交办的其他事项。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（三）部门财务管理情况</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b w:val="0"/>
          <w:i w:val="0"/>
          <w:sz w:val="32"/>
          <w:szCs w:val="32"/>
        </w:rPr>
        <w:t>1</w:t>
      </w:r>
      <w:r>
        <w:rPr>
          <w:rFonts w:hint="default" w:ascii="Times New Roman" w:hAnsi="Times New Roman" w:cs="Times New Roman"/>
          <w:sz w:val="32"/>
          <w:szCs w:val="32"/>
        </w:rPr>
        <w:t>.资产负债情况</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截至</w:t>
      </w:r>
      <w:r>
        <w:rPr>
          <w:rFonts w:hint="default" w:ascii="Times New Roman" w:hAnsi="Times New Roman" w:cs="Times New Roman"/>
          <w:b w:val="0"/>
          <w:i w:val="0"/>
          <w:sz w:val="32"/>
          <w:szCs w:val="32"/>
        </w:rPr>
        <w:t>202</w:t>
      </w:r>
      <w:r>
        <w:rPr>
          <w:rFonts w:hint="eastAsia" w:ascii="Times New Roman" w:hAnsi="Times New Roman" w:cs="Times New Roman"/>
          <w:b w:val="0"/>
          <w:i w:val="0"/>
          <w:sz w:val="32"/>
          <w:szCs w:val="32"/>
          <w:lang w:val="en-US" w:eastAsia="zh-CN"/>
        </w:rPr>
        <w:t>1</w:t>
      </w:r>
      <w:r>
        <w:rPr>
          <w:rFonts w:hint="default" w:ascii="Times New Roman" w:hAnsi="Times New Roman" w:cs="Times New Roman"/>
          <w:sz w:val="32"/>
          <w:szCs w:val="32"/>
        </w:rPr>
        <w:t>年</w:t>
      </w:r>
      <w:r>
        <w:rPr>
          <w:rFonts w:hint="default" w:ascii="Times New Roman" w:hAnsi="Times New Roman" w:cs="Times New Roman"/>
          <w:b w:val="0"/>
          <w:i w:val="0"/>
          <w:sz w:val="32"/>
          <w:szCs w:val="32"/>
        </w:rPr>
        <w:t>12</w:t>
      </w:r>
      <w:r>
        <w:rPr>
          <w:rFonts w:hint="default" w:ascii="Times New Roman" w:hAnsi="Times New Roman" w:cs="Times New Roman"/>
          <w:sz w:val="32"/>
          <w:szCs w:val="32"/>
        </w:rPr>
        <w:t>月</w:t>
      </w:r>
      <w:r>
        <w:rPr>
          <w:rFonts w:hint="default" w:ascii="Times New Roman" w:hAnsi="Times New Roman" w:cs="Times New Roman"/>
          <w:b w:val="0"/>
          <w:i w:val="0"/>
          <w:sz w:val="32"/>
          <w:szCs w:val="32"/>
        </w:rPr>
        <w:t>31</w:t>
      </w:r>
      <w:r>
        <w:rPr>
          <w:rFonts w:hint="default" w:ascii="Times New Roman" w:hAnsi="Times New Roman" w:cs="Times New Roman"/>
          <w:sz w:val="32"/>
          <w:szCs w:val="32"/>
        </w:rPr>
        <w:t>日，资产总额</w:t>
      </w:r>
      <w:r>
        <w:rPr>
          <w:rFonts w:hint="eastAsia" w:cs="Times New Roman"/>
          <w:b w:val="0"/>
          <w:i w:val="0"/>
          <w:sz w:val="32"/>
          <w:szCs w:val="32"/>
          <w:lang w:val="en-US" w:eastAsia="zh-CN"/>
        </w:rPr>
        <w:t>27</w:t>
      </w:r>
      <w:r>
        <w:rPr>
          <w:rFonts w:hint="default" w:ascii="Times New Roman" w:hAnsi="Times New Roman" w:cs="Times New Roman"/>
          <w:sz w:val="32"/>
          <w:szCs w:val="32"/>
        </w:rPr>
        <w:t>,</w:t>
      </w:r>
      <w:r>
        <w:rPr>
          <w:rFonts w:hint="eastAsia" w:cs="Times New Roman"/>
          <w:sz w:val="32"/>
          <w:szCs w:val="32"/>
          <w:lang w:val="en-US" w:eastAsia="zh-CN"/>
        </w:rPr>
        <w:t>282</w:t>
      </w:r>
      <w:r>
        <w:rPr>
          <w:rFonts w:hint="default" w:ascii="Times New Roman" w:hAnsi="Times New Roman" w:cs="Times New Roman"/>
          <w:sz w:val="32"/>
          <w:szCs w:val="32"/>
        </w:rPr>
        <w:t>.</w:t>
      </w:r>
      <w:r>
        <w:rPr>
          <w:rFonts w:hint="eastAsia" w:cs="Times New Roman"/>
          <w:b w:val="0"/>
          <w:i w:val="0"/>
          <w:sz w:val="32"/>
          <w:szCs w:val="32"/>
          <w:lang w:val="en-US" w:eastAsia="zh-CN"/>
        </w:rPr>
        <w:t>13</w:t>
      </w:r>
      <w:r>
        <w:rPr>
          <w:rFonts w:hint="default" w:ascii="Times New Roman" w:hAnsi="Times New Roman" w:cs="Times New Roman"/>
          <w:sz w:val="32"/>
          <w:szCs w:val="32"/>
        </w:rPr>
        <w:t>万元，其中流动资产</w:t>
      </w:r>
      <w:r>
        <w:rPr>
          <w:rFonts w:hint="eastAsia" w:cs="Times New Roman"/>
          <w:b w:val="0"/>
          <w:i w:val="0"/>
          <w:sz w:val="32"/>
          <w:szCs w:val="32"/>
          <w:lang w:val="en-US" w:eastAsia="zh-CN"/>
        </w:rPr>
        <w:t>2</w:t>
      </w:r>
      <w:r>
        <w:rPr>
          <w:rFonts w:hint="default" w:ascii="Times New Roman" w:hAnsi="Times New Roman" w:cs="Times New Roman"/>
          <w:sz w:val="32"/>
          <w:szCs w:val="32"/>
        </w:rPr>
        <w:t>,</w:t>
      </w:r>
      <w:r>
        <w:rPr>
          <w:rFonts w:hint="eastAsia" w:cs="Times New Roman"/>
          <w:b w:val="0"/>
          <w:i w:val="0"/>
          <w:sz w:val="32"/>
          <w:szCs w:val="32"/>
          <w:lang w:val="en-US" w:eastAsia="zh-CN"/>
        </w:rPr>
        <w:t>413</w:t>
      </w:r>
      <w:r>
        <w:rPr>
          <w:rFonts w:hint="default" w:ascii="Times New Roman" w:hAnsi="Times New Roman" w:cs="Times New Roman"/>
          <w:sz w:val="32"/>
          <w:szCs w:val="32"/>
        </w:rPr>
        <w:t>.</w:t>
      </w:r>
      <w:r>
        <w:rPr>
          <w:rFonts w:hint="eastAsia" w:cs="Times New Roman"/>
          <w:b w:val="0"/>
          <w:i w:val="0"/>
          <w:sz w:val="32"/>
          <w:szCs w:val="32"/>
          <w:lang w:val="en-US" w:eastAsia="zh-CN"/>
        </w:rPr>
        <w:t>04</w:t>
      </w:r>
      <w:r>
        <w:rPr>
          <w:rFonts w:hint="default" w:ascii="Times New Roman" w:hAnsi="Times New Roman" w:cs="Times New Roman"/>
          <w:sz w:val="32"/>
          <w:szCs w:val="32"/>
        </w:rPr>
        <w:t>万元、非流动资产</w:t>
      </w:r>
      <w:r>
        <w:rPr>
          <w:rFonts w:hint="eastAsia" w:cs="Times New Roman"/>
          <w:b w:val="0"/>
          <w:i w:val="0"/>
          <w:sz w:val="32"/>
          <w:szCs w:val="32"/>
          <w:lang w:val="en-US" w:eastAsia="zh-CN"/>
        </w:rPr>
        <w:t>24</w:t>
      </w:r>
      <w:r>
        <w:rPr>
          <w:rFonts w:hint="default" w:ascii="Times New Roman" w:hAnsi="Times New Roman" w:cs="Times New Roman"/>
          <w:sz w:val="32"/>
          <w:szCs w:val="32"/>
        </w:rPr>
        <w:t>,</w:t>
      </w:r>
      <w:r>
        <w:rPr>
          <w:rFonts w:hint="eastAsia" w:cs="Times New Roman"/>
          <w:b w:val="0"/>
          <w:i w:val="0"/>
          <w:sz w:val="32"/>
          <w:szCs w:val="32"/>
          <w:lang w:val="en-US" w:eastAsia="zh-CN"/>
        </w:rPr>
        <w:t>869</w:t>
      </w:r>
      <w:r>
        <w:rPr>
          <w:rFonts w:hint="default" w:ascii="Times New Roman" w:hAnsi="Times New Roman" w:cs="Times New Roman"/>
          <w:sz w:val="32"/>
          <w:szCs w:val="32"/>
        </w:rPr>
        <w:t>.</w:t>
      </w:r>
      <w:r>
        <w:rPr>
          <w:rFonts w:hint="eastAsia" w:cs="Times New Roman"/>
          <w:b w:val="0"/>
          <w:i w:val="0"/>
          <w:sz w:val="32"/>
          <w:szCs w:val="32"/>
          <w:lang w:val="en-US" w:eastAsia="zh-CN"/>
        </w:rPr>
        <w:t>09</w:t>
      </w:r>
      <w:r>
        <w:rPr>
          <w:rFonts w:hint="default" w:ascii="Times New Roman" w:hAnsi="Times New Roman" w:cs="Times New Roman"/>
          <w:sz w:val="32"/>
          <w:szCs w:val="32"/>
        </w:rPr>
        <w:t>万元。负债</w:t>
      </w:r>
      <w:r>
        <w:rPr>
          <w:rFonts w:hint="eastAsia" w:cs="Times New Roman"/>
          <w:sz w:val="32"/>
          <w:szCs w:val="32"/>
          <w:lang w:val="en-US" w:eastAsia="zh-CN"/>
        </w:rPr>
        <w:t>总额</w:t>
      </w:r>
      <w:r>
        <w:rPr>
          <w:rFonts w:hint="eastAsia" w:cs="Times New Roman"/>
          <w:b w:val="0"/>
          <w:i w:val="0"/>
          <w:sz w:val="32"/>
          <w:szCs w:val="32"/>
          <w:lang w:val="en-US" w:eastAsia="zh-CN"/>
        </w:rPr>
        <w:t>169</w:t>
      </w:r>
      <w:r>
        <w:rPr>
          <w:rFonts w:hint="eastAsia" w:cs="Times New Roman"/>
          <w:sz w:val="32"/>
          <w:szCs w:val="32"/>
          <w:lang w:val="en-US" w:eastAsia="zh-CN"/>
        </w:rPr>
        <w:t>.</w:t>
      </w:r>
      <w:r>
        <w:rPr>
          <w:rFonts w:hint="eastAsia" w:cs="Times New Roman"/>
          <w:b w:val="0"/>
          <w:i w:val="0"/>
          <w:sz w:val="32"/>
          <w:szCs w:val="32"/>
          <w:lang w:val="en-US" w:eastAsia="zh-CN"/>
        </w:rPr>
        <w:t>74</w:t>
      </w:r>
      <w:r>
        <w:rPr>
          <w:rFonts w:hint="eastAsia" w:cs="Times New Roman"/>
          <w:sz w:val="32"/>
          <w:szCs w:val="32"/>
          <w:lang w:val="en-US" w:eastAsia="zh-CN"/>
        </w:rPr>
        <w:t>万元</w:t>
      </w:r>
      <w:r>
        <w:rPr>
          <w:rFonts w:hint="default" w:ascii="Times New Roman" w:hAnsi="Times New Roman" w:cs="Times New Roman"/>
          <w:sz w:val="32"/>
          <w:szCs w:val="32"/>
        </w:rPr>
        <w:t>。净资产</w:t>
      </w:r>
      <w:r>
        <w:rPr>
          <w:rFonts w:hint="default" w:ascii="Times New Roman" w:hAnsi="Times New Roman" w:cs="Times New Roman"/>
          <w:b w:val="0"/>
          <w:i w:val="0"/>
          <w:sz w:val="32"/>
          <w:szCs w:val="32"/>
        </w:rPr>
        <w:t>2</w:t>
      </w:r>
      <w:r>
        <w:rPr>
          <w:rFonts w:hint="eastAsia" w:cs="Times New Roman"/>
          <w:b w:val="0"/>
          <w:i w:val="0"/>
          <w:sz w:val="32"/>
          <w:szCs w:val="32"/>
          <w:lang w:val="en-US" w:eastAsia="zh-CN"/>
        </w:rPr>
        <w:t>7</w:t>
      </w:r>
      <w:r>
        <w:rPr>
          <w:rFonts w:hint="default" w:ascii="Times New Roman" w:hAnsi="Times New Roman" w:cs="Times New Roman"/>
          <w:sz w:val="32"/>
          <w:szCs w:val="32"/>
        </w:rPr>
        <w:t>,</w:t>
      </w:r>
      <w:r>
        <w:rPr>
          <w:rFonts w:hint="eastAsia" w:cs="Times New Roman"/>
          <w:b w:val="0"/>
          <w:i w:val="0"/>
          <w:sz w:val="32"/>
          <w:szCs w:val="32"/>
          <w:lang w:val="en-US" w:eastAsia="zh-CN"/>
        </w:rPr>
        <w:t>112</w:t>
      </w:r>
      <w:r>
        <w:rPr>
          <w:rFonts w:hint="default" w:ascii="Times New Roman" w:hAnsi="Times New Roman" w:cs="Times New Roman"/>
          <w:sz w:val="32"/>
          <w:szCs w:val="32"/>
        </w:rPr>
        <w:t>.</w:t>
      </w:r>
      <w:r>
        <w:rPr>
          <w:rFonts w:hint="eastAsia" w:cs="Times New Roman"/>
          <w:b w:val="0"/>
          <w:i w:val="0"/>
          <w:sz w:val="32"/>
          <w:szCs w:val="32"/>
          <w:lang w:val="en-US" w:eastAsia="zh-CN"/>
        </w:rPr>
        <w:t>39</w:t>
      </w:r>
      <w:r>
        <w:rPr>
          <w:rFonts w:hint="default" w:ascii="Times New Roman" w:hAnsi="Times New Roman" w:cs="Times New Roman"/>
          <w:sz w:val="32"/>
          <w:szCs w:val="32"/>
        </w:rPr>
        <w:t>万元。</w:t>
      </w:r>
      <w:r>
        <w:rPr>
          <w:rFonts w:hint="eastAsia" w:cs="Times New Roman"/>
          <w:sz w:val="32"/>
          <w:szCs w:val="32"/>
          <w:lang w:eastAsia="zh-CN"/>
        </w:rPr>
        <w:t>（</w:t>
      </w:r>
      <w:r>
        <w:rPr>
          <w:rFonts w:hint="eastAsia" w:cs="Times New Roman"/>
          <w:sz w:val="32"/>
          <w:szCs w:val="32"/>
          <w:lang w:val="en-US" w:eastAsia="zh-CN"/>
        </w:rPr>
        <w:t>未调减本年度收支结转余额，按资产年报中资产负债表汇总数填列</w:t>
      </w:r>
      <w:r>
        <w:rPr>
          <w:rFonts w:hint="eastAsia" w:cs="Times New Roman"/>
          <w:sz w:val="32"/>
          <w:szCs w:val="32"/>
          <w:lang w:eastAsia="zh-CN"/>
        </w:rPr>
        <w:t>）</w:t>
      </w:r>
    </w:p>
    <w:p>
      <w:pPr>
        <w:pageBreakBefore w:val="0"/>
        <w:widowControl w:val="0"/>
        <w:kinsoku/>
        <w:wordWrap/>
        <w:overflowPunct/>
        <w:topLinePunct w:val="0"/>
        <w:autoSpaceDE/>
        <w:autoSpaceDN/>
        <w:bidi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2.部门整体收支情况</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sz w:val="32"/>
          <w:szCs w:val="32"/>
          <w:highlight w:val="none"/>
        </w:rPr>
      </w:pPr>
      <w:r>
        <w:rPr>
          <w:rFonts w:hint="default" w:ascii="Times New Roman" w:hAnsi="Times New Roman" w:cs="Times New Roman"/>
          <w:b w:val="0"/>
          <w:i w:val="0"/>
          <w:sz w:val="32"/>
          <w:szCs w:val="32"/>
          <w:highlight w:val="none"/>
        </w:rPr>
        <w:t>202</w:t>
      </w:r>
      <w:r>
        <w:rPr>
          <w:rFonts w:hint="eastAsia" w:ascii="Times New Roman" w:hAnsi="Times New Roman" w:cs="Times New Roman"/>
          <w:b w:val="0"/>
          <w:i w:val="0"/>
          <w:sz w:val="32"/>
          <w:szCs w:val="32"/>
          <w:highlight w:val="none"/>
          <w:lang w:val="en-US" w:eastAsia="zh-CN"/>
        </w:rPr>
        <w:t>1</w:t>
      </w:r>
      <w:r>
        <w:rPr>
          <w:rFonts w:hint="default" w:ascii="Times New Roman" w:hAnsi="Times New Roman" w:cs="Times New Roman"/>
          <w:sz w:val="32"/>
          <w:szCs w:val="32"/>
          <w:highlight w:val="none"/>
        </w:rPr>
        <w:t>年年初预算收入11,898.23万元，预算调整</w:t>
      </w:r>
      <w:r>
        <w:rPr>
          <w:rFonts w:hint="eastAsia" w:cs="Times New Roman"/>
          <w:b w:val="0"/>
          <w:i w:val="0"/>
          <w:sz w:val="32"/>
          <w:szCs w:val="32"/>
          <w:highlight w:val="none"/>
          <w:lang w:val="en-US" w:eastAsia="zh-CN"/>
        </w:rPr>
        <w:t>3</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108</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33</w:t>
      </w:r>
      <w:r>
        <w:rPr>
          <w:rFonts w:hint="default" w:ascii="Times New Roman" w:hAnsi="Times New Roman" w:cs="Times New Roman"/>
          <w:sz w:val="32"/>
          <w:szCs w:val="32"/>
          <w:highlight w:val="none"/>
        </w:rPr>
        <w:t>万元，调整后预算收入</w:t>
      </w:r>
      <w:r>
        <w:rPr>
          <w:rFonts w:hint="eastAsia" w:ascii="Times New Roman" w:hAnsi="Times New Roman" w:cs="Times New Roman"/>
          <w:b w:val="0"/>
          <w:i w:val="0"/>
          <w:sz w:val="32"/>
          <w:szCs w:val="32"/>
          <w:highlight w:val="none"/>
          <w:lang w:val="en-US" w:eastAsia="zh-CN"/>
        </w:rPr>
        <w:t>1</w:t>
      </w:r>
      <w:r>
        <w:rPr>
          <w:rFonts w:hint="eastAsia" w:cs="Times New Roman"/>
          <w:b w:val="0"/>
          <w:i w:val="0"/>
          <w:sz w:val="32"/>
          <w:szCs w:val="32"/>
          <w:highlight w:val="none"/>
          <w:lang w:val="en-US" w:eastAsia="zh-CN"/>
        </w:rPr>
        <w:t>5</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006</w:t>
      </w:r>
      <w:r>
        <w:rPr>
          <w:rFonts w:hint="eastAsia" w:ascii="Times New Roman" w:hAnsi="Times New Roman" w:cs="Times New Roman"/>
          <w:b w:val="0"/>
          <w:i w:val="0"/>
          <w:sz w:val="32"/>
          <w:szCs w:val="32"/>
          <w:highlight w:val="none"/>
          <w:lang w:val="en-US" w:eastAsia="zh-CN"/>
        </w:rPr>
        <w:t>.</w:t>
      </w:r>
      <w:r>
        <w:rPr>
          <w:rFonts w:hint="eastAsia" w:cs="Times New Roman"/>
          <w:b w:val="0"/>
          <w:i w:val="0"/>
          <w:sz w:val="32"/>
          <w:szCs w:val="32"/>
          <w:highlight w:val="none"/>
          <w:lang w:val="en-US" w:eastAsia="zh-CN"/>
        </w:rPr>
        <w:t>56</w:t>
      </w:r>
      <w:r>
        <w:rPr>
          <w:rFonts w:hint="default" w:ascii="Times New Roman" w:hAnsi="Times New Roman" w:cs="Times New Roman"/>
          <w:sz w:val="32"/>
          <w:szCs w:val="32"/>
          <w:highlight w:val="none"/>
        </w:rPr>
        <w:t>万元，其中一般公共预算</w:t>
      </w:r>
      <w:r>
        <w:rPr>
          <w:rFonts w:hint="eastAsia" w:cs="Times New Roman"/>
          <w:sz w:val="32"/>
          <w:szCs w:val="32"/>
          <w:highlight w:val="none"/>
          <w:lang w:val="en-US" w:eastAsia="zh-CN"/>
        </w:rPr>
        <w:t>收入</w:t>
      </w:r>
      <w:r>
        <w:rPr>
          <w:rFonts w:hint="eastAsia" w:cs="Times New Roman"/>
          <w:b w:val="0"/>
          <w:i w:val="0"/>
          <w:sz w:val="32"/>
          <w:szCs w:val="32"/>
          <w:highlight w:val="none"/>
          <w:lang w:val="en-US" w:eastAsia="zh-CN"/>
        </w:rPr>
        <w:t>14</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991</w:t>
      </w:r>
      <w:r>
        <w:rPr>
          <w:rFonts w:hint="eastAsia" w:cs="Times New Roman"/>
          <w:sz w:val="32"/>
          <w:szCs w:val="32"/>
          <w:highlight w:val="none"/>
          <w:lang w:val="en-US" w:eastAsia="zh-CN"/>
        </w:rPr>
        <w:t>.</w:t>
      </w:r>
      <w:r>
        <w:rPr>
          <w:rFonts w:hint="eastAsia" w:cs="Times New Roman"/>
          <w:b w:val="0"/>
          <w:i w:val="0"/>
          <w:sz w:val="32"/>
          <w:szCs w:val="32"/>
          <w:highlight w:val="none"/>
          <w:lang w:val="en-US" w:eastAsia="zh-CN"/>
        </w:rPr>
        <w:t>57</w:t>
      </w:r>
      <w:r>
        <w:rPr>
          <w:rFonts w:hint="default" w:ascii="Times New Roman" w:hAnsi="Times New Roman" w:cs="Times New Roman"/>
          <w:sz w:val="32"/>
          <w:szCs w:val="32"/>
          <w:highlight w:val="none"/>
        </w:rPr>
        <w:t>万元</w:t>
      </w:r>
      <w:r>
        <w:rPr>
          <w:rFonts w:hint="eastAsia" w:cs="Times New Roman"/>
          <w:sz w:val="32"/>
          <w:szCs w:val="32"/>
          <w:highlight w:val="none"/>
          <w:lang w:eastAsia="zh-CN"/>
        </w:rPr>
        <w:t>（</w:t>
      </w:r>
      <w:r>
        <w:rPr>
          <w:rFonts w:hint="eastAsia" w:cs="Times New Roman"/>
          <w:bCs/>
          <w:sz w:val="32"/>
          <w:szCs w:val="32"/>
          <w:highlight w:val="none"/>
          <w:lang w:val="en-US" w:eastAsia="zh-CN"/>
        </w:rPr>
        <w:t>含</w:t>
      </w:r>
      <w:r>
        <w:rPr>
          <w:rFonts w:hint="eastAsia" w:ascii="Times New Roman" w:hAnsi="Times New Roman" w:eastAsia="仿宋_GB2312" w:cs="Times New Roman"/>
          <w:bCs/>
          <w:kern w:val="2"/>
          <w:sz w:val="32"/>
          <w:szCs w:val="32"/>
          <w:highlight w:val="none"/>
          <w:lang w:val="en-US" w:eastAsia="zh-CN" w:bidi="ar-SA"/>
        </w:rPr>
        <w:t>市级</w:t>
      </w:r>
      <w:r>
        <w:rPr>
          <w:rFonts w:hint="eastAsia" w:ascii="Times New Roman" w:hAnsi="Times New Roman" w:cs="Times New Roman"/>
          <w:bCs/>
          <w:kern w:val="2"/>
          <w:sz w:val="32"/>
          <w:szCs w:val="32"/>
          <w:highlight w:val="none"/>
          <w:lang w:val="en-US" w:eastAsia="zh-CN" w:bidi="ar-SA"/>
        </w:rPr>
        <w:t>预算特定类项目、市级追加、中央及省级转移支付项目</w:t>
      </w:r>
      <w:r>
        <w:rPr>
          <w:rFonts w:hint="eastAsia" w:cs="Times New Roman"/>
          <w:sz w:val="32"/>
          <w:szCs w:val="32"/>
          <w:highlight w:val="none"/>
          <w:lang w:eastAsia="zh-CN"/>
        </w:rPr>
        <w:t>）</w:t>
      </w:r>
      <w:r>
        <w:rPr>
          <w:rFonts w:hint="default" w:ascii="Times New Roman" w:hAnsi="Times New Roman" w:cs="Times New Roman"/>
          <w:sz w:val="32"/>
          <w:szCs w:val="32"/>
          <w:highlight w:val="none"/>
        </w:rPr>
        <w:t>、其他收入</w:t>
      </w:r>
      <w:r>
        <w:rPr>
          <w:rFonts w:hint="eastAsia" w:ascii="Times New Roman" w:hAnsi="Times New Roman" w:cs="Times New Roman"/>
          <w:b w:val="0"/>
          <w:i w:val="0"/>
          <w:sz w:val="32"/>
          <w:szCs w:val="32"/>
          <w:highlight w:val="none"/>
          <w:lang w:val="en-US" w:eastAsia="zh-CN"/>
        </w:rPr>
        <w:t>14</w:t>
      </w:r>
      <w:r>
        <w:rPr>
          <w:rFonts w:hint="eastAsia" w:cs="Times New Roman"/>
          <w:sz w:val="32"/>
          <w:szCs w:val="32"/>
          <w:highlight w:val="none"/>
          <w:lang w:val="en-US" w:eastAsia="zh-CN"/>
        </w:rPr>
        <w:t>.</w:t>
      </w:r>
      <w:r>
        <w:rPr>
          <w:rFonts w:hint="eastAsia" w:cs="Times New Roman"/>
          <w:b w:val="0"/>
          <w:i w:val="0"/>
          <w:sz w:val="32"/>
          <w:szCs w:val="32"/>
          <w:highlight w:val="none"/>
          <w:lang w:val="en-US" w:eastAsia="zh-CN"/>
        </w:rPr>
        <w:t>99</w:t>
      </w:r>
      <w:r>
        <w:rPr>
          <w:rFonts w:hint="default" w:ascii="Times New Roman" w:hAnsi="Times New Roman" w:cs="Times New Roman"/>
          <w:sz w:val="32"/>
          <w:szCs w:val="32"/>
          <w:highlight w:val="none"/>
        </w:rPr>
        <w:t>万元。</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cs="Times New Roman"/>
          <w:b w:val="0"/>
          <w:i w:val="0"/>
          <w:sz w:val="32"/>
          <w:szCs w:val="32"/>
          <w:highlight w:val="none"/>
        </w:rPr>
        <w:t>202</w:t>
      </w:r>
      <w:r>
        <w:rPr>
          <w:rFonts w:hint="eastAsia" w:ascii="Times New Roman" w:hAnsi="Times New Roman" w:cs="Times New Roman"/>
          <w:b w:val="0"/>
          <w:i w:val="0"/>
          <w:sz w:val="32"/>
          <w:szCs w:val="32"/>
          <w:highlight w:val="none"/>
          <w:lang w:val="en-US" w:eastAsia="zh-CN"/>
        </w:rPr>
        <w:t>1</w:t>
      </w:r>
      <w:r>
        <w:rPr>
          <w:rFonts w:hint="default" w:ascii="Times New Roman" w:hAnsi="Times New Roman" w:cs="Times New Roman"/>
          <w:sz w:val="32"/>
          <w:szCs w:val="32"/>
          <w:highlight w:val="none"/>
        </w:rPr>
        <w:t>年</w:t>
      </w:r>
      <w:r>
        <w:rPr>
          <w:rFonts w:hint="eastAsia" w:cs="Times New Roman"/>
          <w:sz w:val="32"/>
          <w:szCs w:val="32"/>
          <w:highlight w:val="none"/>
          <w:lang w:val="en-US" w:eastAsia="zh-CN"/>
        </w:rPr>
        <w:t>收入</w:t>
      </w:r>
      <w:r>
        <w:rPr>
          <w:rFonts w:hint="default" w:ascii="Times New Roman" w:hAnsi="Times New Roman" w:cs="Times New Roman"/>
          <w:sz w:val="32"/>
          <w:szCs w:val="32"/>
          <w:highlight w:val="none"/>
        </w:rPr>
        <w:t>合计</w:t>
      </w:r>
      <w:r>
        <w:rPr>
          <w:rFonts w:hint="eastAsia" w:ascii="Times New Roman" w:hAnsi="Times New Roman" w:cs="Times New Roman"/>
          <w:b w:val="0"/>
          <w:i w:val="0"/>
          <w:sz w:val="32"/>
          <w:szCs w:val="32"/>
          <w:highlight w:val="none"/>
          <w:lang w:val="en-US" w:eastAsia="zh-CN"/>
        </w:rPr>
        <w:t>1</w:t>
      </w:r>
      <w:r>
        <w:rPr>
          <w:rFonts w:hint="eastAsia" w:cs="Times New Roman"/>
          <w:b w:val="0"/>
          <w:i w:val="0"/>
          <w:sz w:val="32"/>
          <w:szCs w:val="32"/>
          <w:highlight w:val="none"/>
          <w:lang w:val="en-US" w:eastAsia="zh-CN"/>
        </w:rPr>
        <w:t>7</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103</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28</w:t>
      </w:r>
      <w:r>
        <w:rPr>
          <w:rFonts w:hint="default" w:ascii="Times New Roman" w:hAnsi="Times New Roman" w:cs="Times New Roman"/>
          <w:sz w:val="32"/>
          <w:szCs w:val="32"/>
          <w:highlight w:val="none"/>
        </w:rPr>
        <w:t>万元</w:t>
      </w:r>
      <w:r>
        <w:rPr>
          <w:rFonts w:hint="eastAsia" w:cs="Times New Roman"/>
          <w:sz w:val="32"/>
          <w:szCs w:val="32"/>
          <w:highlight w:val="none"/>
          <w:lang w:val="en-US" w:eastAsia="zh-CN"/>
        </w:rPr>
        <w:t>(含</w:t>
      </w:r>
      <w:r>
        <w:rPr>
          <w:rFonts w:hint="default" w:ascii="Times New Roman" w:hAnsi="Times New Roman" w:cs="Times New Roman"/>
          <w:sz w:val="32"/>
          <w:szCs w:val="32"/>
          <w:highlight w:val="none"/>
        </w:rPr>
        <w:t>上年结转</w:t>
      </w:r>
      <w:r>
        <w:rPr>
          <w:rFonts w:hint="eastAsia" w:ascii="Times New Roman" w:hAnsi="Times New Roman" w:cs="Times New Roman"/>
          <w:b w:val="0"/>
          <w:i w:val="0"/>
          <w:sz w:val="32"/>
          <w:szCs w:val="32"/>
          <w:highlight w:val="none"/>
          <w:lang w:val="en-US" w:eastAsia="zh-CN"/>
        </w:rPr>
        <w:t>2</w:t>
      </w:r>
      <w:r>
        <w:rPr>
          <w:rFonts w:hint="default" w:ascii="Times New Roman" w:hAnsi="Times New Roman" w:cs="Times New Roman"/>
          <w:sz w:val="32"/>
          <w:szCs w:val="32"/>
          <w:highlight w:val="none"/>
        </w:rPr>
        <w:t>,</w:t>
      </w:r>
      <w:r>
        <w:rPr>
          <w:rFonts w:hint="eastAsia" w:ascii="Times New Roman" w:hAnsi="Times New Roman" w:cs="Times New Roman"/>
          <w:b w:val="0"/>
          <w:i w:val="0"/>
          <w:sz w:val="32"/>
          <w:szCs w:val="32"/>
          <w:highlight w:val="none"/>
          <w:lang w:val="en-US" w:eastAsia="zh-CN"/>
        </w:rPr>
        <w:t>096</w:t>
      </w:r>
      <w:r>
        <w:rPr>
          <w:rFonts w:hint="default" w:ascii="Times New Roman" w:hAnsi="Times New Roman" w:cs="Times New Roman"/>
          <w:sz w:val="32"/>
          <w:szCs w:val="32"/>
          <w:highlight w:val="none"/>
        </w:rPr>
        <w:t>.</w:t>
      </w:r>
      <w:r>
        <w:rPr>
          <w:rFonts w:hint="eastAsia" w:ascii="Times New Roman" w:hAnsi="Times New Roman" w:cs="Times New Roman"/>
          <w:b w:val="0"/>
          <w:i w:val="0"/>
          <w:sz w:val="32"/>
          <w:szCs w:val="32"/>
          <w:highlight w:val="none"/>
          <w:lang w:val="en-US" w:eastAsia="zh-CN"/>
        </w:rPr>
        <w:t>72</w:t>
      </w:r>
      <w:r>
        <w:rPr>
          <w:rFonts w:hint="default" w:ascii="Times New Roman" w:hAnsi="Times New Roman" w:cs="Times New Roman"/>
          <w:sz w:val="32"/>
          <w:szCs w:val="32"/>
          <w:highlight w:val="none"/>
        </w:rPr>
        <w:t>万元</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其中财政拨款结转1</w:t>
      </w:r>
      <w:r>
        <w:rPr>
          <w:rFonts w:hint="default" w:ascii="Times New Roman" w:hAnsi="Times New Roman" w:cs="Times New Roman"/>
          <w:sz w:val="32"/>
          <w:szCs w:val="32"/>
          <w:highlight w:val="none"/>
        </w:rPr>
        <w:t>,</w:t>
      </w:r>
      <w:r>
        <w:rPr>
          <w:rFonts w:hint="eastAsia" w:ascii="Times New Roman" w:hAnsi="Times New Roman" w:cs="Times New Roman"/>
          <w:sz w:val="32"/>
          <w:szCs w:val="32"/>
          <w:highlight w:val="none"/>
          <w:lang w:val="en-US" w:eastAsia="zh-CN"/>
        </w:rPr>
        <w:t>072.54万元，其他收入结转1</w:t>
      </w:r>
      <w:r>
        <w:rPr>
          <w:rFonts w:hint="default" w:ascii="Times New Roman" w:hAnsi="Times New Roman" w:cs="Times New Roman"/>
          <w:sz w:val="32"/>
          <w:szCs w:val="32"/>
          <w:highlight w:val="none"/>
        </w:rPr>
        <w:t>,</w:t>
      </w:r>
      <w:r>
        <w:rPr>
          <w:rFonts w:hint="eastAsia" w:ascii="Times New Roman" w:hAnsi="Times New Roman" w:cs="Times New Roman"/>
          <w:sz w:val="32"/>
          <w:szCs w:val="32"/>
          <w:highlight w:val="none"/>
          <w:lang w:val="en-US" w:eastAsia="zh-CN"/>
        </w:rPr>
        <w:t>024.18万元</w:t>
      </w:r>
      <w:r>
        <w:rPr>
          <w:rFonts w:hint="default" w:ascii="Times New Roman" w:hAnsi="Times New Roman" w:cs="Times New Roman"/>
          <w:sz w:val="32"/>
          <w:szCs w:val="32"/>
          <w:highlight w:val="none"/>
        </w:rPr>
        <w:t>。</w:t>
      </w:r>
      <w:r>
        <w:rPr>
          <w:rFonts w:hint="eastAsia" w:cs="Times New Roman"/>
          <w:sz w:val="32"/>
          <w:szCs w:val="32"/>
          <w:highlight w:val="none"/>
          <w:lang w:eastAsia="zh-CN"/>
        </w:rPr>
        <w:t>）</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cs="Times New Roman"/>
          <w:sz w:val="32"/>
          <w:szCs w:val="32"/>
          <w:highlight w:val="none"/>
          <w:lang w:eastAsia="zh-CN"/>
        </w:rPr>
      </w:pPr>
      <w:r>
        <w:rPr>
          <w:rFonts w:hint="default" w:ascii="Times New Roman" w:hAnsi="Times New Roman" w:cs="Times New Roman"/>
          <w:b w:val="0"/>
          <w:i w:val="0"/>
          <w:sz w:val="32"/>
          <w:szCs w:val="32"/>
          <w:highlight w:val="none"/>
        </w:rPr>
        <w:t>202</w:t>
      </w:r>
      <w:r>
        <w:rPr>
          <w:rFonts w:hint="eastAsia" w:ascii="Times New Roman" w:hAnsi="Times New Roman" w:cs="Times New Roman"/>
          <w:b w:val="0"/>
          <w:i w:val="0"/>
          <w:sz w:val="32"/>
          <w:szCs w:val="32"/>
          <w:highlight w:val="none"/>
          <w:lang w:val="en-US" w:eastAsia="zh-CN"/>
        </w:rPr>
        <w:t>1</w:t>
      </w:r>
      <w:r>
        <w:rPr>
          <w:rFonts w:hint="default" w:ascii="Times New Roman" w:hAnsi="Times New Roman" w:cs="Times New Roman"/>
          <w:sz w:val="32"/>
          <w:szCs w:val="32"/>
          <w:highlight w:val="none"/>
        </w:rPr>
        <w:t>年年初预算支出11898.23万元。决算支出</w:t>
      </w:r>
      <w:r>
        <w:rPr>
          <w:rFonts w:hint="eastAsia" w:cs="Times New Roman"/>
          <w:b w:val="0"/>
          <w:i w:val="0"/>
          <w:sz w:val="32"/>
          <w:szCs w:val="32"/>
          <w:highlight w:val="none"/>
          <w:lang w:val="en-US" w:eastAsia="zh-CN"/>
        </w:rPr>
        <w:t>16</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065</w:t>
      </w:r>
      <w:r>
        <w:rPr>
          <w:rFonts w:hint="default" w:ascii="Times New Roman" w:hAnsi="Times New Roman" w:cs="Times New Roman"/>
          <w:sz w:val="32"/>
          <w:szCs w:val="32"/>
          <w:highlight w:val="none"/>
        </w:rPr>
        <w:t>.</w:t>
      </w:r>
      <w:r>
        <w:rPr>
          <w:rFonts w:hint="default" w:ascii="Times New Roman" w:hAnsi="Times New Roman" w:cs="Times New Roman"/>
          <w:b w:val="0"/>
          <w:i w:val="0"/>
          <w:sz w:val="32"/>
          <w:szCs w:val="32"/>
          <w:highlight w:val="none"/>
        </w:rPr>
        <w:t>0</w:t>
      </w:r>
      <w:r>
        <w:rPr>
          <w:rFonts w:hint="eastAsia" w:cs="Times New Roman"/>
          <w:b w:val="0"/>
          <w:i w:val="0"/>
          <w:sz w:val="32"/>
          <w:szCs w:val="32"/>
          <w:highlight w:val="none"/>
          <w:lang w:val="en-US" w:eastAsia="zh-CN"/>
        </w:rPr>
        <w:t>9</w:t>
      </w:r>
      <w:r>
        <w:rPr>
          <w:rFonts w:hint="default" w:ascii="Times New Roman" w:hAnsi="Times New Roman" w:cs="Times New Roman"/>
          <w:sz w:val="32"/>
          <w:szCs w:val="32"/>
          <w:highlight w:val="none"/>
        </w:rPr>
        <w:t>万元，其中基本支出</w:t>
      </w:r>
      <w:r>
        <w:rPr>
          <w:rFonts w:hint="eastAsia" w:cs="Times New Roman"/>
          <w:b w:val="0"/>
          <w:i w:val="0"/>
          <w:sz w:val="32"/>
          <w:szCs w:val="32"/>
          <w:highlight w:val="none"/>
          <w:lang w:val="en-US" w:eastAsia="zh-CN"/>
        </w:rPr>
        <w:t>10</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640</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93</w:t>
      </w:r>
      <w:r>
        <w:rPr>
          <w:rFonts w:hint="default" w:ascii="Times New Roman" w:hAnsi="Times New Roman" w:cs="Times New Roman"/>
          <w:sz w:val="32"/>
          <w:szCs w:val="32"/>
          <w:highlight w:val="none"/>
        </w:rPr>
        <w:t>万元</w:t>
      </w:r>
      <w:r>
        <w:rPr>
          <w:rFonts w:hint="eastAsia" w:cs="Times New Roman"/>
          <w:sz w:val="32"/>
          <w:szCs w:val="32"/>
          <w:highlight w:val="none"/>
          <w:lang w:eastAsia="zh-CN"/>
        </w:rPr>
        <w:t>，</w:t>
      </w:r>
      <w:r>
        <w:rPr>
          <w:rFonts w:hint="default" w:ascii="Times New Roman" w:hAnsi="Times New Roman" w:cs="Times New Roman"/>
          <w:sz w:val="32"/>
          <w:szCs w:val="32"/>
          <w:highlight w:val="none"/>
        </w:rPr>
        <w:t>项目支出</w:t>
      </w:r>
      <w:r>
        <w:rPr>
          <w:rFonts w:hint="eastAsia" w:ascii="Times New Roman" w:hAnsi="Times New Roman" w:cs="Times New Roman"/>
          <w:bCs/>
          <w:sz w:val="32"/>
          <w:szCs w:val="32"/>
          <w:highlight w:val="none"/>
          <w:lang w:val="en-US" w:eastAsia="zh-CN"/>
        </w:rPr>
        <w:t>5</w:t>
      </w:r>
      <w:r>
        <w:rPr>
          <w:rFonts w:hint="default" w:ascii="Times New Roman" w:hAnsi="Times New Roman"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424</w:t>
      </w:r>
      <w:r>
        <w:rPr>
          <w:rFonts w:hint="default" w:ascii="Times New Roman" w:hAnsi="Times New Roman"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16</w:t>
      </w:r>
      <w:r>
        <w:rPr>
          <w:rFonts w:hint="default" w:ascii="Times New Roman" w:hAnsi="Times New Roman" w:cs="Times New Roman"/>
          <w:sz w:val="32"/>
          <w:szCs w:val="32"/>
          <w:highlight w:val="none"/>
        </w:rPr>
        <w:t>万元</w:t>
      </w:r>
      <w:r>
        <w:rPr>
          <w:rFonts w:hint="eastAsia" w:cs="Times New Roman"/>
          <w:sz w:val="32"/>
          <w:szCs w:val="32"/>
          <w:highlight w:val="none"/>
          <w:lang w:eastAsia="zh-CN"/>
        </w:rPr>
        <w:t>（</w:t>
      </w:r>
      <w:r>
        <w:rPr>
          <w:rFonts w:hint="default" w:ascii="Times New Roman" w:hAnsi="Times New Roman" w:cs="Times New Roman"/>
          <w:bCs/>
          <w:sz w:val="32"/>
          <w:szCs w:val="32"/>
          <w:highlight w:val="none"/>
          <w:lang w:val="en-US" w:eastAsia="zh-CN"/>
        </w:rPr>
        <w:t>一般公共预算财政拨款项目支出</w:t>
      </w:r>
      <w:r>
        <w:rPr>
          <w:rFonts w:hint="eastAsia" w:ascii="Times New Roman" w:hAnsi="Times New Roman" w:cs="Times New Roman"/>
          <w:bCs/>
          <w:sz w:val="32"/>
          <w:szCs w:val="32"/>
          <w:highlight w:val="none"/>
          <w:lang w:val="en-US" w:eastAsia="zh-CN"/>
        </w:rPr>
        <w:t>5</w:t>
      </w:r>
      <w:r>
        <w:rPr>
          <w:rFonts w:hint="default" w:ascii="Times New Roman" w:hAnsi="Times New Roman"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242</w:t>
      </w:r>
      <w:r>
        <w:rPr>
          <w:rFonts w:hint="default" w:ascii="Times New Roman" w:hAnsi="Times New Roman" w:cs="Times New Roman"/>
          <w:bCs/>
          <w:sz w:val="32"/>
          <w:szCs w:val="32"/>
          <w:highlight w:val="none"/>
          <w:lang w:val="en-US" w:eastAsia="zh-CN"/>
        </w:rPr>
        <w:t>.</w:t>
      </w:r>
      <w:r>
        <w:rPr>
          <w:rFonts w:hint="eastAsia" w:ascii="Times New Roman" w:hAnsi="Times New Roman" w:cs="Times New Roman"/>
          <w:bCs/>
          <w:sz w:val="32"/>
          <w:szCs w:val="32"/>
          <w:highlight w:val="none"/>
          <w:lang w:val="en-US" w:eastAsia="zh-CN"/>
        </w:rPr>
        <w:t>48</w:t>
      </w:r>
      <w:r>
        <w:rPr>
          <w:rFonts w:hint="default" w:ascii="Times New Roman" w:hAnsi="Times New Roman" w:cs="Times New Roman"/>
          <w:bCs/>
          <w:sz w:val="32"/>
          <w:szCs w:val="32"/>
          <w:highlight w:val="none"/>
          <w:lang w:val="en-US" w:eastAsia="zh-CN"/>
        </w:rPr>
        <w:t>万元</w:t>
      </w:r>
      <w:r>
        <w:rPr>
          <w:rFonts w:hint="eastAsia" w:ascii="Times New Roman" w:hAnsi="Times New Roman" w:cs="Times New Roman"/>
          <w:bCs/>
          <w:sz w:val="32"/>
          <w:szCs w:val="32"/>
          <w:highlight w:val="none"/>
          <w:lang w:val="en-US" w:eastAsia="zh-CN"/>
        </w:rPr>
        <w:t>、其他支出181.68万元</w:t>
      </w:r>
      <w:r>
        <w:rPr>
          <w:rFonts w:hint="eastAsia" w:cs="Times New Roman"/>
          <w:sz w:val="32"/>
          <w:szCs w:val="32"/>
          <w:highlight w:val="none"/>
          <w:lang w:eastAsia="zh-CN"/>
        </w:rPr>
        <w:t>）</w:t>
      </w:r>
      <w:r>
        <w:rPr>
          <w:rFonts w:hint="default" w:ascii="Times New Roman" w:hAnsi="Times New Roman" w:cs="Times New Roman"/>
          <w:sz w:val="32"/>
          <w:szCs w:val="32"/>
          <w:highlight w:val="none"/>
        </w:rPr>
        <w:t>。年底结转结余</w:t>
      </w:r>
      <w:r>
        <w:rPr>
          <w:rFonts w:hint="eastAsia" w:ascii="Times New Roman" w:hAnsi="Times New Roman" w:cs="Times New Roman"/>
          <w:bCs/>
          <w:sz w:val="32"/>
          <w:szCs w:val="32"/>
          <w:highlight w:val="none"/>
          <w:lang w:val="en-US" w:eastAsia="zh-CN"/>
        </w:rPr>
        <w:t>1</w:t>
      </w:r>
      <w:r>
        <w:rPr>
          <w:rFonts w:hint="default" w:ascii="Times New Roman" w:hAnsi="Times New Roman" w:cs="Times New Roman"/>
          <w:bCs/>
          <w:sz w:val="32"/>
          <w:szCs w:val="32"/>
          <w:highlight w:val="none"/>
          <w:lang w:val="en-US" w:eastAsia="zh-CN"/>
        </w:rPr>
        <w:t>,</w:t>
      </w:r>
      <w:r>
        <w:rPr>
          <w:rFonts w:hint="eastAsia" w:cs="Times New Roman"/>
          <w:b w:val="0"/>
          <w:i w:val="0"/>
          <w:sz w:val="32"/>
          <w:szCs w:val="32"/>
          <w:highlight w:val="none"/>
          <w:lang w:val="en-US" w:eastAsia="zh-CN"/>
        </w:rPr>
        <w:t>038</w:t>
      </w:r>
      <w:r>
        <w:rPr>
          <w:rFonts w:hint="default" w:ascii="Times New Roman" w:hAnsi="Times New Roman" w:cs="Times New Roman"/>
          <w:sz w:val="32"/>
          <w:szCs w:val="32"/>
          <w:highlight w:val="none"/>
        </w:rPr>
        <w:t>.</w:t>
      </w:r>
      <w:r>
        <w:rPr>
          <w:rFonts w:hint="eastAsia" w:cs="Times New Roman"/>
          <w:b w:val="0"/>
          <w:i w:val="0"/>
          <w:sz w:val="32"/>
          <w:szCs w:val="32"/>
          <w:highlight w:val="none"/>
          <w:lang w:val="en-US" w:eastAsia="zh-CN"/>
        </w:rPr>
        <w:t>19</w:t>
      </w:r>
      <w:r>
        <w:rPr>
          <w:rFonts w:hint="default" w:ascii="Times New Roman" w:hAnsi="Times New Roman" w:cs="Times New Roman"/>
          <w:sz w:val="32"/>
          <w:szCs w:val="32"/>
          <w:highlight w:val="none"/>
        </w:rPr>
        <w:t>万元</w:t>
      </w:r>
      <w:r>
        <w:rPr>
          <w:rFonts w:hint="eastAsia" w:cs="Times New Roman"/>
          <w:sz w:val="32"/>
          <w:szCs w:val="32"/>
          <w:highlight w:val="none"/>
          <w:lang w:eastAsia="zh-CN"/>
        </w:rPr>
        <w:t>，</w:t>
      </w:r>
      <w:r>
        <w:rPr>
          <w:rFonts w:hint="eastAsia" w:cs="Times New Roman"/>
          <w:sz w:val="32"/>
          <w:szCs w:val="32"/>
          <w:highlight w:val="none"/>
          <w:lang w:val="en-US" w:eastAsia="zh-CN"/>
        </w:rPr>
        <w:t>其中</w:t>
      </w:r>
      <w:r>
        <w:rPr>
          <w:rFonts w:hint="default" w:ascii="Times New Roman" w:hAnsi="Times New Roman" w:cs="Times New Roman"/>
          <w:bCs/>
          <w:sz w:val="32"/>
          <w:szCs w:val="32"/>
          <w:highlight w:val="none"/>
          <w:lang w:val="en-US" w:eastAsia="zh-CN"/>
        </w:rPr>
        <w:t>一般公共预算财政拨款</w:t>
      </w:r>
      <w:r>
        <w:rPr>
          <w:rFonts w:hint="eastAsia" w:ascii="Times New Roman" w:hAnsi="Times New Roman" w:cs="Times New Roman"/>
          <w:bCs/>
          <w:sz w:val="32"/>
          <w:szCs w:val="32"/>
          <w:highlight w:val="none"/>
          <w:lang w:val="en-US" w:eastAsia="zh-CN"/>
        </w:rPr>
        <w:t>结转结余180.70万元，其他收入结转857.49万元</w:t>
      </w:r>
      <w:r>
        <w:rPr>
          <w:rFonts w:hint="default" w:ascii="Times New Roman" w:hAnsi="Times New Roman" w:cs="Times New Roman"/>
          <w:sz w:val="32"/>
          <w:szCs w:val="32"/>
          <w:highlight w:val="none"/>
        </w:rPr>
        <w:t>。</w:t>
      </w:r>
      <w:r>
        <w:rPr>
          <w:rFonts w:hint="eastAsia" w:cs="Times New Roman"/>
          <w:sz w:val="32"/>
          <w:szCs w:val="32"/>
          <w:highlight w:val="none"/>
          <w:lang w:eastAsia="zh-CN"/>
        </w:rPr>
        <w:t>（</w:t>
      </w:r>
      <w:r>
        <w:rPr>
          <w:rFonts w:hint="eastAsia" w:cs="Times New Roman"/>
          <w:sz w:val="32"/>
          <w:szCs w:val="32"/>
          <w:highlight w:val="none"/>
          <w:lang w:val="en-US" w:eastAsia="zh-CN"/>
        </w:rPr>
        <w:t>调减本年度收支结转余额</w:t>
      </w:r>
      <w:r>
        <w:rPr>
          <w:rFonts w:hint="eastAsia" w:cs="Times New Roman"/>
          <w:sz w:val="32"/>
          <w:szCs w:val="32"/>
          <w:highlight w:val="none"/>
          <w:lang w:eastAsia="zh-CN"/>
        </w:rPr>
        <w:t>）</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Times New Roman" w:hAnsi="Times New Roman" w:cs="Times New Roman"/>
          <w:b w:val="0"/>
          <w:i w:val="0"/>
          <w:sz w:val="32"/>
          <w:szCs w:val="32"/>
          <w:lang w:eastAsia="zh-CN"/>
        </w:rPr>
      </w:pPr>
      <w:r>
        <w:rPr>
          <w:rFonts w:hint="eastAsia" w:ascii="Times New Roman" w:hAnsi="Times New Roman" w:cs="Times New Roman"/>
          <w:bCs/>
          <w:sz w:val="32"/>
          <w:szCs w:val="32"/>
          <w:highlight w:val="none"/>
          <w:lang w:val="en-US" w:eastAsia="zh-CN"/>
        </w:rPr>
        <w:t>根据财政部《政府会计准则制度解释第4号》中</w:t>
      </w:r>
      <w:r>
        <w:rPr>
          <w:rFonts w:hint="eastAsia" w:ascii="Times New Roman" w:hAnsi="Times New Roman" w:cs="Times New Roman"/>
          <w:b w:val="0"/>
          <w:i w:val="0"/>
          <w:sz w:val="32"/>
          <w:szCs w:val="32"/>
          <w:lang w:val="en-US" w:eastAsia="zh-CN"/>
        </w:rPr>
        <w:t>“</w:t>
      </w:r>
      <w:r>
        <w:rPr>
          <w:rFonts w:hint="eastAsia" w:ascii="楷体" w:hAnsi="楷体" w:eastAsia="楷体" w:cs="楷体"/>
          <w:b w:val="0"/>
          <w:i w:val="0"/>
          <w:sz w:val="32"/>
          <w:szCs w:val="32"/>
          <w:lang w:val="en-US" w:eastAsia="zh-CN"/>
        </w:rPr>
        <w:t>五、关于财政国库集中支付结余不再按权责发生制列支的相关会计处理……</w:t>
      </w:r>
      <w:r>
        <w:rPr>
          <w:rFonts w:hint="eastAsia" w:ascii="Times New Roman" w:hAnsi="Times New Roman" w:cs="Times New Roman"/>
          <w:b w:val="0"/>
          <w:i w:val="0"/>
          <w:sz w:val="32"/>
          <w:szCs w:val="32"/>
          <w:lang w:val="en-US" w:eastAsia="zh-CN"/>
        </w:rPr>
        <w:t>”要求对2021年决算本年收支结转余额进行冲减，本报告中“</w:t>
      </w:r>
      <w:r>
        <w:rPr>
          <w:rFonts w:hint="default" w:ascii="Times New Roman" w:hAnsi="Times New Roman" w:cs="Times New Roman"/>
          <w:b w:val="0"/>
          <w:i w:val="0"/>
          <w:sz w:val="32"/>
          <w:szCs w:val="32"/>
        </w:rPr>
        <w:t>部门整体收支情况</w:t>
      </w:r>
      <w:r>
        <w:rPr>
          <w:rFonts w:hint="eastAsia" w:ascii="Times New Roman" w:hAnsi="Times New Roman" w:cs="Times New Roman"/>
          <w:b w:val="0"/>
          <w:i w:val="0"/>
          <w:sz w:val="32"/>
          <w:szCs w:val="32"/>
          <w:lang w:val="en-US" w:eastAsia="zh-CN"/>
        </w:rPr>
        <w:t>”及附件“2021年度部门整体支出绩效自评表”中“全年预算数”均按调整后决算收入口径填报。</w:t>
      </w:r>
    </w:p>
    <w:p>
      <w:pPr>
        <w:keepNext w:val="0"/>
        <w:keepLines w:val="0"/>
        <w:pageBreakBefore w:val="0"/>
        <w:numPr>
          <w:ilvl w:val="0"/>
          <w:numId w:val="5"/>
        </w:numPr>
        <w:kinsoku/>
        <w:overflowPunct/>
        <w:topLinePunct w:val="0"/>
        <w:autoSpaceDN/>
        <w:bidi w:val="0"/>
        <w:adjustRightIn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部门绩效目标</w:t>
      </w:r>
    </w:p>
    <w:p>
      <w:pPr>
        <w:keepNext w:val="0"/>
        <w:keepLines w:val="0"/>
        <w:pageBreakBefore w:val="0"/>
        <w:numPr>
          <w:ilvl w:val="0"/>
          <w:numId w:val="0"/>
        </w:numPr>
        <w:kinsoku/>
        <w:overflowPunct/>
        <w:topLinePunct w:val="0"/>
        <w:autoSpaceDN/>
        <w:bidi w:val="0"/>
        <w:adjustRightInd/>
        <w:spacing w:line="560" w:lineRule="exact"/>
        <w:textAlignment w:val="auto"/>
        <w:rPr>
          <w:rFonts w:hint="default" w:ascii="Times New Roman" w:hAnsi="Times New Roman" w:cs="Times New Roman"/>
          <w:sz w:val="32"/>
          <w:szCs w:val="32"/>
        </w:rPr>
      </w:pPr>
      <w:r>
        <w:rPr>
          <w:rFonts w:hint="eastAsia" w:eastAsia="楷体_GB2312" w:cs="Times New Roman"/>
          <w:bCs/>
          <w:sz w:val="32"/>
          <w:szCs w:val="32"/>
          <w:lang w:val="en-US" w:eastAsia="zh-CN"/>
        </w:rPr>
        <w:t xml:space="preserve">    </w:t>
      </w:r>
      <w:r>
        <w:rPr>
          <w:rFonts w:hint="eastAsia" w:ascii="Times New Roman" w:hAnsi="Times New Roman" w:cs="Times New Roman"/>
          <w:sz w:val="32"/>
          <w:szCs w:val="32"/>
          <w:lang w:val="en-US" w:eastAsia="zh-CN"/>
        </w:rPr>
        <w:t>我单位</w:t>
      </w:r>
      <w:r>
        <w:rPr>
          <w:rFonts w:hint="eastAsia" w:ascii="Times New Roman" w:hAnsi="Times New Roman" w:cs="Times New Roman"/>
          <w:sz w:val="32"/>
          <w:szCs w:val="32"/>
        </w:rPr>
        <w:t>根据全面推进预算绩效管理要求，严格按照部门预算单位绩效目标管理及相关要求申报2021年度部门整体支出绩效目标和项目支出绩效目标。</w:t>
      </w:r>
      <w:r>
        <w:rPr>
          <w:rFonts w:hint="eastAsia" w:ascii="Times New Roman" w:hAnsi="Times New Roman" w:cs="Times New Roman"/>
          <w:sz w:val="32"/>
          <w:szCs w:val="32"/>
          <w:lang w:val="en-US" w:eastAsia="zh-CN"/>
        </w:rPr>
        <w:t>并设立</w:t>
      </w:r>
      <w:r>
        <w:rPr>
          <w:rFonts w:hint="default" w:ascii="Times New Roman" w:hAnsi="Times New Roman" w:cs="Times New Roman"/>
          <w:bCs/>
          <w:sz w:val="32"/>
          <w:szCs w:val="32"/>
        </w:rPr>
        <w:t>部门绩效</w:t>
      </w:r>
      <w:r>
        <w:rPr>
          <w:rFonts w:hint="eastAsia" w:cs="Times New Roman"/>
          <w:bCs/>
          <w:sz w:val="32"/>
          <w:szCs w:val="32"/>
          <w:lang w:val="en-US" w:eastAsia="zh-CN"/>
        </w:rPr>
        <w:t>六大</w:t>
      </w:r>
      <w:r>
        <w:rPr>
          <w:rFonts w:hint="default" w:ascii="Times New Roman" w:hAnsi="Times New Roman" w:cs="Times New Roman"/>
          <w:bCs/>
          <w:sz w:val="32"/>
          <w:szCs w:val="32"/>
        </w:rPr>
        <w:t>总目标</w:t>
      </w:r>
      <w:r>
        <w:rPr>
          <w:rFonts w:hint="default" w:ascii="Times New Roman" w:hAnsi="Times New Roman" w:cs="Times New Roman"/>
          <w:sz w:val="32"/>
          <w:szCs w:val="32"/>
        </w:rPr>
        <w:t>（</w:t>
      </w:r>
      <w:r>
        <w:rPr>
          <w:rFonts w:hint="eastAsia" w:ascii="Times New Roman" w:hAnsi="Times New Roman" w:cs="Times New Roman"/>
          <w:b w:val="0"/>
          <w:i w:val="0"/>
          <w:sz w:val="32"/>
          <w:szCs w:val="32"/>
          <w:lang w:val="en-US" w:eastAsia="zh-CN"/>
        </w:rPr>
        <w:t>1</w:t>
      </w:r>
      <w:r>
        <w:rPr>
          <w:rFonts w:hint="default" w:ascii="Times New Roman" w:hAnsi="Times New Roman" w:cs="Times New Roman"/>
          <w:sz w:val="32"/>
          <w:szCs w:val="32"/>
        </w:rPr>
        <w:t>）守牢市场安全基本底线。严格落实“四个最严”，牢固树立市场监管安全至上的理念。确保全市范围内重大食品药品、产商品、特种设备安全事故发生率为</w:t>
      </w:r>
      <w:r>
        <w:rPr>
          <w:rFonts w:hint="default" w:ascii="Times New Roman" w:hAnsi="Times New Roman" w:cs="Times New Roman"/>
          <w:b w:val="0"/>
          <w:i w:val="0"/>
          <w:sz w:val="32"/>
          <w:szCs w:val="32"/>
        </w:rPr>
        <w:t>0</w:t>
      </w:r>
      <w:r>
        <w:rPr>
          <w:rFonts w:hint="default" w:ascii="Times New Roman" w:hAnsi="Times New Roman" w:cs="Times New Roman"/>
          <w:sz w:val="32"/>
          <w:szCs w:val="32"/>
        </w:rPr>
        <w:t>。（</w:t>
      </w:r>
      <w:r>
        <w:rPr>
          <w:rFonts w:hint="eastAsia" w:ascii="Times New Roman" w:hAnsi="Times New Roman" w:cs="Times New Roman"/>
          <w:b w:val="0"/>
          <w:i w:val="0"/>
          <w:sz w:val="32"/>
          <w:szCs w:val="32"/>
          <w:lang w:val="en-US" w:eastAsia="zh-CN"/>
        </w:rPr>
        <w:t>2</w:t>
      </w:r>
      <w:r>
        <w:rPr>
          <w:rFonts w:hint="default" w:ascii="Times New Roman" w:hAnsi="Times New Roman" w:cs="Times New Roman"/>
          <w:sz w:val="32"/>
          <w:szCs w:val="32"/>
        </w:rPr>
        <w:t>）争取真抓实干激励表彰。在商事制度改革、质量发展、食品安全和知识产权工作等方面，获得</w:t>
      </w:r>
      <w:r>
        <w:rPr>
          <w:rFonts w:hint="default" w:ascii="Times New Roman" w:hAnsi="Times New Roman" w:cs="Times New Roman"/>
          <w:b w:val="0"/>
          <w:i w:val="0"/>
          <w:sz w:val="32"/>
          <w:szCs w:val="32"/>
        </w:rPr>
        <w:t>1</w:t>
      </w:r>
      <w:r>
        <w:rPr>
          <w:rFonts w:hint="default" w:ascii="Times New Roman" w:hAnsi="Times New Roman" w:cs="Times New Roman"/>
          <w:sz w:val="32"/>
          <w:szCs w:val="32"/>
        </w:rPr>
        <w:t>-</w:t>
      </w:r>
      <w:r>
        <w:rPr>
          <w:rFonts w:hint="default" w:ascii="Times New Roman" w:hAnsi="Times New Roman" w:cs="Times New Roman"/>
          <w:b w:val="0"/>
          <w:i w:val="0"/>
          <w:sz w:val="32"/>
          <w:szCs w:val="32"/>
        </w:rPr>
        <w:t>2</w:t>
      </w:r>
      <w:r>
        <w:rPr>
          <w:rFonts w:hint="default" w:ascii="Times New Roman" w:hAnsi="Times New Roman" w:cs="Times New Roman"/>
          <w:sz w:val="32"/>
          <w:szCs w:val="32"/>
        </w:rPr>
        <w:t>项省政府或国务院真抓实干激励表彰。（</w:t>
      </w:r>
      <w:r>
        <w:rPr>
          <w:rFonts w:hint="eastAsia" w:ascii="Times New Roman" w:hAnsi="Times New Roman" w:cs="Times New Roman"/>
          <w:b w:val="0"/>
          <w:i w:val="0"/>
          <w:sz w:val="32"/>
          <w:szCs w:val="32"/>
          <w:lang w:val="en-US" w:eastAsia="zh-CN"/>
        </w:rPr>
        <w:t>3</w:t>
      </w:r>
      <w:r>
        <w:rPr>
          <w:rFonts w:hint="default" w:ascii="Times New Roman" w:hAnsi="Times New Roman" w:cs="Times New Roman"/>
          <w:sz w:val="32"/>
          <w:szCs w:val="32"/>
        </w:rPr>
        <w:t>）推动三大产业加速发展。（</w:t>
      </w:r>
      <w:r>
        <w:rPr>
          <w:rFonts w:hint="eastAsia" w:ascii="Times New Roman" w:hAnsi="Times New Roman" w:cs="Times New Roman"/>
          <w:b w:val="0"/>
          <w:i w:val="0"/>
          <w:sz w:val="32"/>
          <w:szCs w:val="32"/>
          <w:lang w:val="en-US" w:eastAsia="zh-CN"/>
        </w:rPr>
        <w:t>4</w:t>
      </w:r>
      <w:r>
        <w:rPr>
          <w:rFonts w:hint="default" w:ascii="Times New Roman" w:hAnsi="Times New Roman" w:cs="Times New Roman"/>
          <w:sz w:val="32"/>
          <w:szCs w:val="32"/>
        </w:rPr>
        <w:t>）维护市场公平竞争秩序。全面推行信用监管。全面落实公平竞争审查制度，加强反垄断执法，查处民生领域垄断案件，加大制止滥用行政权力排除、限制竞争执法力度。强化网络监管，规范网络商品和服务经营者行为。畅通</w:t>
      </w:r>
      <w:r>
        <w:rPr>
          <w:rFonts w:hint="default" w:ascii="Times New Roman" w:hAnsi="Times New Roman" w:cs="Times New Roman"/>
          <w:b w:val="0"/>
          <w:i w:val="0"/>
          <w:sz w:val="32"/>
          <w:szCs w:val="32"/>
        </w:rPr>
        <w:t>12315</w:t>
      </w:r>
      <w:r>
        <w:rPr>
          <w:rFonts w:hint="default" w:ascii="Times New Roman" w:hAnsi="Times New Roman" w:cs="Times New Roman"/>
          <w:sz w:val="32"/>
          <w:szCs w:val="32"/>
        </w:rPr>
        <w:t>热线平台，提升消费维权效能。（</w:t>
      </w:r>
      <w:r>
        <w:rPr>
          <w:rFonts w:hint="eastAsia" w:ascii="Times New Roman" w:hAnsi="Times New Roman" w:cs="Times New Roman"/>
          <w:b w:val="0"/>
          <w:i w:val="0"/>
          <w:sz w:val="32"/>
          <w:szCs w:val="32"/>
          <w:lang w:val="en-US" w:eastAsia="zh-CN"/>
        </w:rPr>
        <w:t>5</w:t>
      </w:r>
      <w:r>
        <w:rPr>
          <w:rFonts w:hint="default" w:ascii="Times New Roman" w:hAnsi="Times New Roman" w:cs="Times New Roman"/>
          <w:sz w:val="32"/>
          <w:szCs w:val="32"/>
        </w:rPr>
        <w:t>）完善常德市基本公共服务标准体系，编制完成</w:t>
      </w:r>
      <w:r>
        <w:rPr>
          <w:rFonts w:hint="default" w:ascii="Times New Roman" w:hAnsi="Times New Roman" w:cs="Times New Roman"/>
          <w:b w:val="0"/>
          <w:i w:val="0"/>
          <w:sz w:val="32"/>
          <w:szCs w:val="32"/>
        </w:rPr>
        <w:t>160</w:t>
      </w:r>
      <w:r>
        <w:rPr>
          <w:rFonts w:hint="default" w:ascii="Times New Roman" w:hAnsi="Times New Roman" w:cs="Times New Roman"/>
          <w:sz w:val="32"/>
          <w:szCs w:val="32"/>
        </w:rPr>
        <w:t>项常德基本公共服务标准并组织实施，组织专家对试点工作进行预验收。（</w:t>
      </w:r>
      <w:r>
        <w:rPr>
          <w:rFonts w:hint="eastAsia" w:ascii="Times New Roman" w:hAnsi="Times New Roman" w:cs="Times New Roman"/>
          <w:b w:val="0"/>
          <w:i w:val="0"/>
          <w:sz w:val="32"/>
          <w:szCs w:val="32"/>
          <w:lang w:val="en-US" w:eastAsia="zh-CN"/>
        </w:rPr>
        <w:t>6</w:t>
      </w:r>
      <w:r>
        <w:rPr>
          <w:rFonts w:hint="default" w:ascii="Times New Roman" w:hAnsi="Times New Roman" w:cs="Times New Roman"/>
          <w:sz w:val="32"/>
          <w:szCs w:val="32"/>
        </w:rPr>
        <w:t>）落实各项中心工作任务。贯彻落实习近平总书记考察湖南重要讲话精神，认真对照打造“三个高地”，担当“四新”使命，落实五项重点任务，按照中央和省市委决策部署要求，完成常态化疫情防控、“长江禁捕打非断链”、生态环境治理、乡村振兴、“十四五”市场监管规划编制等各项中心工作任务。</w:t>
      </w:r>
    </w:p>
    <w:p>
      <w:pPr>
        <w:pStyle w:val="4"/>
        <w:widowControl/>
        <w:spacing w:line="60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pPr>
        <w:spacing w:line="560" w:lineRule="exact"/>
        <w:ind w:firstLine="640" w:firstLineChars="200"/>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（一）基本支出情况</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基本支出系保障</w:t>
      </w:r>
      <w:r>
        <w:rPr>
          <w:rFonts w:hint="eastAsia" w:cs="Times New Roman"/>
          <w:bCs/>
          <w:sz w:val="32"/>
          <w:szCs w:val="32"/>
          <w:lang w:val="en-US" w:eastAsia="zh-CN"/>
        </w:rPr>
        <w:t>我单位</w:t>
      </w:r>
      <w:r>
        <w:rPr>
          <w:rFonts w:hint="default" w:ascii="Times New Roman" w:hAnsi="Times New Roman" w:cs="Times New Roman"/>
          <w:bCs/>
          <w:sz w:val="32"/>
          <w:szCs w:val="32"/>
          <w:lang w:val="en-US" w:eastAsia="zh-CN"/>
        </w:rPr>
        <w:t>机构正常运转、完成日常工作任务而发生的各项支出，包括用于在职和离退休人员基本工资、津贴补贴等人员经费以及办公费、印刷费、水电费、办公设备购置等日常公用经费。202</w:t>
      </w:r>
      <w:r>
        <w:rPr>
          <w:rFonts w:hint="eastAsia" w:ascii="Times New Roman" w:hAnsi="Times New Roman" w:cs="Times New Roman"/>
          <w:bCs/>
          <w:sz w:val="32"/>
          <w:szCs w:val="32"/>
          <w:lang w:val="en-US" w:eastAsia="zh-CN"/>
        </w:rPr>
        <w:t>1</w:t>
      </w:r>
      <w:r>
        <w:rPr>
          <w:rFonts w:hint="default" w:ascii="Times New Roman" w:hAnsi="Times New Roman" w:cs="Times New Roman"/>
          <w:bCs/>
          <w:sz w:val="32"/>
          <w:szCs w:val="32"/>
          <w:lang w:val="en-US" w:eastAsia="zh-CN"/>
        </w:rPr>
        <w:t>年一般公共预算财政拨款基本支出</w:t>
      </w:r>
      <w:r>
        <w:rPr>
          <w:rFonts w:hint="eastAsia" w:cs="Times New Roman"/>
          <w:bCs/>
          <w:sz w:val="32"/>
          <w:szCs w:val="32"/>
          <w:lang w:val="en-US" w:eastAsia="zh-CN"/>
        </w:rPr>
        <w:t>10</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640</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93</w:t>
      </w:r>
      <w:r>
        <w:rPr>
          <w:rFonts w:hint="default" w:ascii="Times New Roman" w:hAnsi="Times New Roman" w:cs="Times New Roman"/>
          <w:bCs/>
          <w:sz w:val="32"/>
          <w:szCs w:val="32"/>
          <w:lang w:val="en-US" w:eastAsia="zh-CN"/>
        </w:rPr>
        <w:t>万元，其中工资福利支出</w:t>
      </w:r>
      <w:r>
        <w:rPr>
          <w:rFonts w:hint="eastAsia" w:cs="Times New Roman"/>
          <w:bCs/>
          <w:sz w:val="32"/>
          <w:szCs w:val="32"/>
          <w:lang w:val="en-US" w:eastAsia="zh-CN"/>
        </w:rPr>
        <w:t>7</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377</w:t>
      </w:r>
      <w:r>
        <w:rPr>
          <w:rFonts w:hint="eastAsia" w:ascii="Times New Roman" w:hAnsi="Times New Roman" w:cs="Times New Roman"/>
          <w:bCs/>
          <w:sz w:val="32"/>
          <w:szCs w:val="32"/>
          <w:lang w:val="en-US" w:eastAsia="zh-CN"/>
        </w:rPr>
        <w:t>.</w:t>
      </w:r>
      <w:r>
        <w:rPr>
          <w:rFonts w:hint="eastAsia" w:cs="Times New Roman"/>
          <w:bCs/>
          <w:sz w:val="32"/>
          <w:szCs w:val="32"/>
          <w:lang w:val="en-US" w:eastAsia="zh-CN"/>
        </w:rPr>
        <w:t>83</w:t>
      </w:r>
      <w:r>
        <w:rPr>
          <w:rFonts w:hint="default" w:ascii="Times New Roman" w:hAnsi="Times New Roman" w:cs="Times New Roman"/>
          <w:bCs/>
          <w:sz w:val="32"/>
          <w:szCs w:val="32"/>
          <w:lang w:val="en-US" w:eastAsia="zh-CN"/>
        </w:rPr>
        <w:t>万元、商品和服务支出</w:t>
      </w:r>
      <w:r>
        <w:rPr>
          <w:rFonts w:hint="eastAsia" w:ascii="Times New Roman" w:hAnsi="Times New Roman" w:cs="Times New Roman"/>
          <w:bCs/>
          <w:sz w:val="32"/>
          <w:szCs w:val="32"/>
          <w:lang w:val="en-US" w:eastAsia="zh-CN"/>
        </w:rPr>
        <w:t>1</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4</w:t>
      </w:r>
      <w:r>
        <w:rPr>
          <w:rFonts w:hint="eastAsia" w:ascii="Times New Roman" w:hAnsi="Times New Roman" w:cs="Times New Roman"/>
          <w:bCs/>
          <w:sz w:val="32"/>
          <w:szCs w:val="32"/>
          <w:lang w:val="en-US" w:eastAsia="zh-CN"/>
        </w:rPr>
        <w:t>40</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00</w:t>
      </w:r>
      <w:r>
        <w:rPr>
          <w:rFonts w:hint="default" w:ascii="Times New Roman" w:hAnsi="Times New Roman" w:cs="Times New Roman"/>
          <w:bCs/>
          <w:sz w:val="32"/>
          <w:szCs w:val="32"/>
          <w:lang w:val="en-US" w:eastAsia="zh-CN"/>
        </w:rPr>
        <w:t>万元、对个人和家庭的补助1,</w:t>
      </w:r>
      <w:r>
        <w:rPr>
          <w:rFonts w:hint="eastAsia" w:cs="Times New Roman"/>
          <w:bCs/>
          <w:sz w:val="32"/>
          <w:szCs w:val="32"/>
          <w:lang w:val="en-US" w:eastAsia="zh-CN"/>
        </w:rPr>
        <w:t>798</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29</w:t>
      </w:r>
      <w:r>
        <w:rPr>
          <w:rFonts w:hint="default" w:ascii="Times New Roman" w:hAnsi="Times New Roman" w:cs="Times New Roman"/>
          <w:bCs/>
          <w:sz w:val="32"/>
          <w:szCs w:val="32"/>
          <w:lang w:val="en-US" w:eastAsia="zh-CN"/>
        </w:rPr>
        <w:t>万元、资本性支出24.</w:t>
      </w:r>
      <w:r>
        <w:rPr>
          <w:rFonts w:hint="eastAsia" w:ascii="Times New Roman" w:hAnsi="Times New Roman" w:cs="Times New Roman"/>
          <w:bCs/>
          <w:sz w:val="32"/>
          <w:szCs w:val="32"/>
          <w:lang w:val="en-US" w:eastAsia="zh-CN"/>
        </w:rPr>
        <w:t>8</w:t>
      </w:r>
      <w:r>
        <w:rPr>
          <w:rFonts w:hint="eastAsia" w:cs="Times New Roman"/>
          <w:bCs/>
          <w:sz w:val="32"/>
          <w:szCs w:val="32"/>
          <w:lang w:val="en-US" w:eastAsia="zh-CN"/>
        </w:rPr>
        <w:t>1</w:t>
      </w:r>
      <w:r>
        <w:rPr>
          <w:rFonts w:hint="default" w:ascii="Times New Roman" w:hAnsi="Times New Roman" w:cs="Times New Roman"/>
          <w:bCs/>
          <w:sz w:val="32"/>
          <w:szCs w:val="32"/>
          <w:lang w:val="en-US" w:eastAsia="zh-CN"/>
        </w:rPr>
        <w:t>万元。</w:t>
      </w:r>
    </w:p>
    <w:tbl>
      <w:tblPr>
        <w:tblStyle w:val="8"/>
        <w:tblW w:w="7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7"/>
        <w:gridCol w:w="900"/>
        <w:gridCol w:w="945"/>
        <w:gridCol w:w="930"/>
        <w:gridCol w:w="1005"/>
        <w:gridCol w:w="877"/>
        <w:gridCol w:w="1103"/>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92"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楷体_GB2312" w:cs="Times New Roman"/>
                <w:b w:val="0"/>
                <w:bCs/>
                <w:sz w:val="28"/>
                <w:szCs w:val="28"/>
                <w:lang w:val="en-US" w:eastAsia="zh-CN"/>
              </w:rPr>
              <w:t>一般公共预算基本支出预、决算及上年对比表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0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87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108" w:type="dxa"/>
            <w:gridSpan w:val="2"/>
            <w:tcBorders>
              <w:top w:val="nil"/>
              <w:left w:val="nil"/>
              <w:bottom w:val="nil"/>
              <w:right w:val="nil"/>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1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r>
              <w:rPr>
                <w:rStyle w:val="18"/>
                <w:lang w:val="en-US" w:eastAsia="zh-CN" w:bidi="ar"/>
              </w:rPr>
              <w:t>年决算</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8"/>
                <w:lang w:val="en-US" w:eastAsia="zh-CN" w:bidi="ar"/>
              </w:rPr>
              <w:t>年预算</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8"/>
                <w:lang w:val="en-US" w:eastAsia="zh-CN" w:bidi="ar"/>
              </w:rPr>
              <w:t>年决算</w:t>
            </w:r>
          </w:p>
        </w:tc>
        <w:tc>
          <w:tcPr>
            <w:tcW w:w="18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8"/>
                <w:lang w:val="en-US" w:eastAsia="zh-CN" w:bidi="ar"/>
              </w:rPr>
              <w:t>年决算较年初预算增</w:t>
            </w:r>
            <w:r>
              <w:rPr>
                <w:rStyle w:val="19"/>
                <w:rFonts w:eastAsia="宋体"/>
                <w:lang w:val="en-US" w:eastAsia="zh-CN" w:bidi="ar"/>
              </w:rPr>
              <w:t>+</w:t>
            </w:r>
            <w:r>
              <w:rPr>
                <w:rStyle w:val="18"/>
                <w:lang w:val="en-US" w:eastAsia="zh-CN" w:bidi="ar"/>
              </w:rPr>
              <w:t>（减</w:t>
            </w:r>
            <w:r>
              <w:rPr>
                <w:rStyle w:val="19"/>
                <w:rFonts w:eastAsia="宋体"/>
                <w:lang w:val="en-US" w:eastAsia="zh-CN" w:bidi="ar"/>
              </w:rPr>
              <w:t>-</w:t>
            </w:r>
            <w:r>
              <w:rPr>
                <w:rStyle w:val="18"/>
                <w:lang w:val="en-US" w:eastAsia="zh-CN" w:bidi="ar"/>
              </w:rPr>
              <w:t>）</w:t>
            </w:r>
          </w:p>
        </w:tc>
        <w:tc>
          <w:tcPr>
            <w:tcW w:w="21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Style w:val="18"/>
                <w:lang w:val="en-US" w:eastAsia="zh-CN" w:bidi="ar"/>
              </w:rPr>
              <w:t>年决算较上年决算增</w:t>
            </w:r>
            <w:r>
              <w:rPr>
                <w:rStyle w:val="19"/>
                <w:rFonts w:eastAsia="宋体"/>
                <w:lang w:val="en-US" w:eastAsia="zh-CN" w:bidi="ar"/>
              </w:rPr>
              <w:t>+</w:t>
            </w:r>
            <w:r>
              <w:rPr>
                <w:rStyle w:val="18"/>
                <w:lang w:val="en-US" w:eastAsia="zh-CN" w:bidi="ar"/>
              </w:rPr>
              <w:t>（减</w:t>
            </w:r>
            <w:r>
              <w:rPr>
                <w:rStyle w:val="19"/>
                <w:rFonts w:eastAsia="宋体"/>
                <w:lang w:val="en-US" w:eastAsia="zh-CN" w:bidi="ar"/>
              </w:rPr>
              <w:t>-</w:t>
            </w:r>
            <w:r>
              <w:rPr>
                <w:rStyle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比例</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工资福利</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6893.06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5,752.95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7377.83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1624.88</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28.24%</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484.77</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商品和服务支出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1431.31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1473.4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-33.4</w:t>
            </w:r>
            <w:r>
              <w:rPr>
                <w:rFonts w:hint="eastAsia" w:ascii="Times New Roman" w:hAnsi="Times New Roman" w:eastAsia="宋体" w:cs="Times New Roman"/>
                <w:i w:val="0"/>
                <w:iCs w:val="0"/>
                <w:color w:val="000000"/>
                <w:kern w:val="0"/>
                <w:sz w:val="18"/>
                <w:szCs w:val="18"/>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对个人和家庭的补助</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1809.04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1069.99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1,798.29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728.3</w:t>
            </w:r>
            <w:r>
              <w:rPr>
                <w:rFonts w:hint="eastAsia" w:ascii="Times New Roman" w:hAnsi="Times New Roman" w:eastAsia="宋体" w:cs="Times New Roman"/>
                <w:i w:val="0"/>
                <w:iCs w:val="0"/>
                <w:color w:val="000000"/>
                <w:kern w:val="0"/>
                <w:sz w:val="18"/>
                <w:szCs w:val="18"/>
                <w:u w:val="none"/>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68.07%</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-10.75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资本性支出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90.73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24.81</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24.81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-65.92</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10224.14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8296.34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10640.93</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2344.59</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28.26%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416.79</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4.08%</w:t>
            </w:r>
          </w:p>
        </w:tc>
      </w:tr>
    </w:tbl>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表上反映情况说明：</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1、工资福利支出、对个人和家庭的补助分别超预算1</w:t>
      </w:r>
      <w:r>
        <w:rPr>
          <w:rFonts w:hint="default" w:ascii="Times New Roman" w:hAnsi="Times New Roman" w:cs="Times New Roman"/>
          <w:bCs/>
          <w:sz w:val="32"/>
          <w:szCs w:val="32"/>
          <w:lang w:val="en-US" w:eastAsia="zh-CN"/>
        </w:rPr>
        <w:t>,</w:t>
      </w:r>
      <w:r>
        <w:rPr>
          <w:rFonts w:hint="eastAsia" w:ascii="Times New Roman" w:hAnsi="Times New Roman" w:eastAsia="仿宋_GB2312" w:cs="Times New Roman"/>
          <w:bCs/>
          <w:kern w:val="2"/>
          <w:sz w:val="32"/>
          <w:szCs w:val="32"/>
          <w:lang w:val="en-US" w:eastAsia="zh-CN" w:bidi="ar-SA"/>
        </w:rPr>
        <w:t>624.88万元、728.30万元。原因分析：绩效考核奖上浮、</w:t>
      </w:r>
      <w:r>
        <w:rPr>
          <w:rFonts w:hint="default" w:ascii="Times New Roman" w:hAnsi="Times New Roman" w:eastAsia="仿宋_GB2312" w:cs="Times New Roman"/>
          <w:bCs/>
          <w:kern w:val="2"/>
          <w:sz w:val="32"/>
          <w:szCs w:val="32"/>
          <w:lang w:val="en-US" w:eastAsia="zh-CN" w:bidi="ar-SA"/>
        </w:rPr>
        <w:t>综治奖及文明单位奖</w:t>
      </w:r>
      <w:r>
        <w:rPr>
          <w:rFonts w:hint="eastAsia" w:ascii="Times New Roman" w:hAnsi="Times New Roman" w:eastAsia="仿宋_GB2312" w:cs="Times New Roman"/>
          <w:bCs/>
          <w:kern w:val="2"/>
          <w:sz w:val="32"/>
          <w:szCs w:val="32"/>
          <w:lang w:val="en-US" w:eastAsia="zh-CN" w:bidi="ar-SA"/>
        </w:rPr>
        <w:t>，根据薪资调标，增发模范机关奖励</w:t>
      </w:r>
      <w:r>
        <w:rPr>
          <w:rFonts w:hint="default" w:ascii="Times New Roman" w:hAnsi="Times New Roman" w:eastAsia="仿宋_GB2312" w:cs="Times New Roman"/>
          <w:bCs/>
          <w:kern w:val="2"/>
          <w:sz w:val="32"/>
          <w:szCs w:val="32"/>
          <w:lang w:val="en-US" w:eastAsia="zh-CN" w:bidi="ar-SA"/>
        </w:rPr>
        <w:t>等</w:t>
      </w:r>
      <w:r>
        <w:rPr>
          <w:rFonts w:hint="eastAsia" w:ascii="Times New Roman" w:hAnsi="Times New Roman" w:eastAsia="仿宋_GB2312" w:cs="Times New Roman"/>
          <w:bCs/>
          <w:kern w:val="2"/>
          <w:sz w:val="32"/>
          <w:szCs w:val="32"/>
          <w:lang w:val="en-US" w:eastAsia="zh-CN" w:bidi="ar-SA"/>
        </w:rPr>
        <w:t>未纳入</w:t>
      </w:r>
      <w:r>
        <w:rPr>
          <w:rFonts w:hint="default" w:ascii="Times New Roman" w:hAnsi="Times New Roman" w:eastAsia="仿宋_GB2312" w:cs="Times New Roman"/>
          <w:bCs/>
          <w:kern w:val="2"/>
          <w:sz w:val="32"/>
          <w:szCs w:val="32"/>
          <w:lang w:val="en-US" w:eastAsia="zh-CN" w:bidi="ar-SA"/>
        </w:rPr>
        <w:t>年初预算编制。</w:t>
      </w:r>
    </w:p>
    <w:p>
      <w:pPr>
        <w:pStyle w:val="4"/>
        <w:rPr>
          <w:rFonts w:hint="eastAsia" w:ascii="Times New Roman" w:hAnsi="Times New Roman" w:cs="Times New Roman"/>
          <w:bCs/>
          <w:kern w:val="2"/>
          <w:sz w:val="32"/>
          <w:szCs w:val="32"/>
          <w:lang w:val="en-US" w:eastAsia="zh-CN" w:bidi="ar-SA"/>
        </w:rPr>
      </w:pPr>
      <w:r>
        <w:rPr>
          <w:rFonts w:hint="eastAsia"/>
          <w:sz w:val="32"/>
          <w:szCs w:val="32"/>
          <w:lang w:val="en-US" w:eastAsia="zh-CN"/>
        </w:rPr>
        <w:t>2、</w:t>
      </w:r>
      <w:r>
        <w:rPr>
          <w:rFonts w:hint="eastAsia" w:ascii="Times New Roman" w:hAnsi="Times New Roman" w:eastAsia="仿宋_GB2312" w:cs="Times New Roman"/>
          <w:bCs/>
          <w:kern w:val="2"/>
          <w:sz w:val="32"/>
          <w:szCs w:val="32"/>
          <w:lang w:val="en-US" w:eastAsia="zh-CN" w:bidi="ar-SA"/>
        </w:rPr>
        <w:t>工资福利支出</w:t>
      </w:r>
      <w:r>
        <w:rPr>
          <w:rFonts w:hint="eastAsia" w:ascii="Times New Roman" w:hAnsi="Times New Roman" w:cs="Times New Roman"/>
          <w:bCs/>
          <w:kern w:val="2"/>
          <w:sz w:val="32"/>
          <w:szCs w:val="32"/>
          <w:lang w:val="en-US" w:eastAsia="zh-CN" w:bidi="ar-SA"/>
        </w:rPr>
        <w:t>超上年决算484.77万元。原因分析：（1）发放绩效考核上浮及新增模范机关奖励经费、综治奖、文明单位奖按调标后工资发放；（2）局机关2021年补发2019年度12名调出人员绩效增发部分及补缴2名干部单位部分职业年金8.94万元；（3）2021年底提前发放2021年第13个月工资。</w:t>
      </w:r>
    </w:p>
    <w:p>
      <w:pPr>
        <w:pStyle w:val="4"/>
        <w:rPr>
          <w:rFonts w:hint="default" w:ascii="Times New Roman" w:hAnsi="Times New Roman"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3、资本性支出较上年决算减少65.92万元。原因分析：2021年配置电脑一批，年末未完成安装验收，暂未付款。</w:t>
      </w:r>
    </w:p>
    <w:p>
      <w:pPr>
        <w:pStyle w:val="4"/>
        <w:widowControl/>
        <w:numPr>
          <w:ilvl w:val="0"/>
          <w:numId w:val="0"/>
        </w:numPr>
        <w:spacing w:line="600" w:lineRule="exact"/>
        <w:ind w:firstLine="640" w:firstLineChars="200"/>
        <w:rPr>
          <w:rFonts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二</w:t>
      </w:r>
      <w:r>
        <w:rPr>
          <w:rFonts w:hint="eastAsia" w:ascii="Times New Roman" w:hAnsi="Times New Roman" w:eastAsia="楷体_GB2312" w:cs="Times New Roman"/>
          <w:b w:val="0"/>
          <w:bCs/>
          <w:sz w:val="32"/>
          <w:szCs w:val="32"/>
          <w:lang w:eastAsia="zh-CN"/>
        </w:rPr>
        <w:t>）</w:t>
      </w:r>
      <w:r>
        <w:rPr>
          <w:rFonts w:ascii="Times New Roman" w:hAnsi="Times New Roman" w:eastAsia="楷体_GB2312" w:cs="Times New Roman"/>
          <w:b w:val="0"/>
          <w:bCs/>
          <w:sz w:val="32"/>
          <w:szCs w:val="32"/>
        </w:rPr>
        <w:t>项目支出情况</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202</w:t>
      </w:r>
      <w:r>
        <w:rPr>
          <w:rFonts w:hint="eastAsia" w:ascii="Times New Roman" w:hAnsi="Times New Roman" w:cs="Times New Roman"/>
          <w:bCs/>
          <w:sz w:val="32"/>
          <w:szCs w:val="32"/>
          <w:lang w:val="en-US" w:eastAsia="zh-CN"/>
        </w:rPr>
        <w:t>1</w:t>
      </w:r>
      <w:r>
        <w:rPr>
          <w:rFonts w:hint="default" w:ascii="Times New Roman" w:hAnsi="Times New Roman" w:cs="Times New Roman"/>
          <w:bCs/>
          <w:sz w:val="32"/>
          <w:szCs w:val="32"/>
          <w:lang w:val="en-US" w:eastAsia="zh-CN"/>
        </w:rPr>
        <w:t>年一般公共预算财政拨款项目支出</w:t>
      </w:r>
      <w:r>
        <w:rPr>
          <w:rFonts w:hint="eastAsia" w:cs="Times New Roman"/>
          <w:bCs/>
          <w:sz w:val="32"/>
          <w:szCs w:val="32"/>
          <w:lang w:val="en-US" w:eastAsia="zh-CN"/>
        </w:rPr>
        <w:t>5</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242</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48</w:t>
      </w:r>
      <w:r>
        <w:rPr>
          <w:rFonts w:hint="default" w:ascii="Times New Roman" w:hAnsi="Times New Roman" w:cs="Times New Roman"/>
          <w:bCs/>
          <w:sz w:val="32"/>
          <w:szCs w:val="32"/>
          <w:lang w:val="en-US" w:eastAsia="zh-CN"/>
        </w:rPr>
        <w:t>万元，其中工资福利支出</w:t>
      </w:r>
      <w:r>
        <w:rPr>
          <w:rFonts w:hint="eastAsia" w:cs="Times New Roman"/>
          <w:bCs/>
          <w:sz w:val="32"/>
          <w:szCs w:val="32"/>
          <w:lang w:val="en-US" w:eastAsia="zh-CN"/>
        </w:rPr>
        <w:t>41</w:t>
      </w:r>
      <w:r>
        <w:rPr>
          <w:rFonts w:hint="eastAsia" w:ascii="Times New Roman" w:hAnsi="Times New Roman" w:cs="Times New Roman"/>
          <w:bCs/>
          <w:sz w:val="32"/>
          <w:szCs w:val="32"/>
          <w:lang w:val="en-US" w:eastAsia="zh-CN"/>
        </w:rPr>
        <w:t>.7</w:t>
      </w:r>
      <w:r>
        <w:rPr>
          <w:rFonts w:hint="eastAsia" w:cs="Times New Roman"/>
          <w:bCs/>
          <w:sz w:val="32"/>
          <w:szCs w:val="32"/>
          <w:lang w:val="en-US" w:eastAsia="zh-CN"/>
        </w:rPr>
        <w:t>5</w:t>
      </w:r>
      <w:r>
        <w:rPr>
          <w:rFonts w:hint="default" w:ascii="Times New Roman" w:hAnsi="Times New Roman" w:cs="Times New Roman"/>
          <w:bCs/>
          <w:sz w:val="32"/>
          <w:szCs w:val="32"/>
          <w:lang w:val="en-US" w:eastAsia="zh-CN"/>
        </w:rPr>
        <w:t>万元，商品和服务支出</w:t>
      </w:r>
      <w:r>
        <w:rPr>
          <w:rFonts w:hint="eastAsia" w:cs="Times New Roman"/>
          <w:bCs/>
          <w:sz w:val="32"/>
          <w:szCs w:val="32"/>
          <w:lang w:val="en-US" w:eastAsia="zh-CN"/>
        </w:rPr>
        <w:t>3</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307</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10</w:t>
      </w:r>
      <w:r>
        <w:rPr>
          <w:rFonts w:hint="default" w:ascii="Times New Roman" w:hAnsi="Times New Roman" w:cs="Times New Roman"/>
          <w:bCs/>
          <w:sz w:val="32"/>
          <w:szCs w:val="32"/>
          <w:lang w:val="en-US" w:eastAsia="zh-CN"/>
        </w:rPr>
        <w:t>万元，对个人和家庭的补助0.</w:t>
      </w:r>
      <w:r>
        <w:rPr>
          <w:rFonts w:hint="eastAsia" w:ascii="Times New Roman" w:hAnsi="Times New Roman" w:cs="Times New Roman"/>
          <w:bCs/>
          <w:sz w:val="32"/>
          <w:szCs w:val="32"/>
          <w:lang w:val="en-US" w:eastAsia="zh-CN"/>
        </w:rPr>
        <w:t>3</w:t>
      </w:r>
      <w:r>
        <w:rPr>
          <w:rFonts w:hint="default" w:ascii="Times New Roman" w:hAnsi="Times New Roman" w:cs="Times New Roman"/>
          <w:bCs/>
          <w:sz w:val="32"/>
          <w:szCs w:val="32"/>
          <w:lang w:val="en-US" w:eastAsia="zh-CN"/>
        </w:rPr>
        <w:t>2万元，资本性支出</w:t>
      </w:r>
      <w:r>
        <w:rPr>
          <w:rFonts w:hint="eastAsia" w:ascii="Times New Roman" w:hAnsi="Times New Roman" w:cs="Times New Roman"/>
          <w:kern w:val="2"/>
          <w:sz w:val="32"/>
          <w:szCs w:val="32"/>
          <w:lang w:val="en-US" w:eastAsia="zh-CN" w:bidi="ar-SA"/>
        </w:rPr>
        <w:t>1</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893</w:t>
      </w:r>
      <w:r>
        <w:rPr>
          <w:rFonts w:hint="default" w:ascii="Times New Roman" w:hAnsi="Times New Roman" w:cs="Times New Roman"/>
          <w:bCs/>
          <w:sz w:val="32"/>
          <w:szCs w:val="32"/>
          <w:lang w:val="en-US" w:eastAsia="zh-CN"/>
        </w:rPr>
        <w:t>.</w:t>
      </w:r>
      <w:r>
        <w:rPr>
          <w:rFonts w:hint="eastAsia" w:ascii="Times New Roman" w:hAnsi="Times New Roman" w:cs="Times New Roman"/>
          <w:bCs/>
          <w:sz w:val="32"/>
          <w:szCs w:val="32"/>
          <w:lang w:val="en-US" w:eastAsia="zh-CN"/>
        </w:rPr>
        <w:t>31</w:t>
      </w:r>
      <w:r>
        <w:rPr>
          <w:rFonts w:hint="default" w:ascii="Times New Roman" w:hAnsi="Times New Roman" w:cs="Times New Roman"/>
          <w:bCs/>
          <w:sz w:val="32"/>
          <w:szCs w:val="32"/>
          <w:lang w:val="en-US" w:eastAsia="zh-CN"/>
        </w:rPr>
        <w:t>万元。</w:t>
      </w:r>
    </w:p>
    <w:p>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2021年度市本级一般公共预算安排特定目标类项目</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1.抽检专项</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cs="仿宋_GB2312"/>
          <w:color w:val="000000"/>
          <w:sz w:val="32"/>
          <w:szCs w:val="32"/>
          <w:highlight w:val="none"/>
          <w:lang w:eastAsia="zh-CN"/>
        </w:rPr>
      </w:pPr>
      <w:r>
        <w:rPr>
          <w:rFonts w:hint="eastAsia" w:ascii="Times New Roman" w:hAnsi="Times New Roman" w:eastAsia="仿宋_GB2312" w:cs="Times New Roman"/>
          <w:bCs/>
          <w:kern w:val="2"/>
          <w:sz w:val="32"/>
          <w:szCs w:val="32"/>
          <w:highlight w:val="none"/>
          <w:lang w:val="en-US" w:eastAsia="zh-CN" w:bidi="ar-SA"/>
        </w:rPr>
        <w:t>抽检专项分为常德市食品安全监督抽检专项由市市场监管局牵头，市食品安全委员会各成员单位具体实施</w:t>
      </w:r>
      <w:r>
        <w:rPr>
          <w:rFonts w:hint="eastAsia" w:ascii="Times New Roman" w:hAnsi="Times New Roman" w:cs="Times New Roman"/>
          <w:bCs/>
          <w:kern w:val="2"/>
          <w:sz w:val="32"/>
          <w:szCs w:val="32"/>
          <w:highlight w:val="none"/>
          <w:lang w:val="en-US" w:eastAsia="zh-CN" w:bidi="ar-SA"/>
        </w:rPr>
        <w:t>；</w:t>
      </w:r>
      <w:r>
        <w:rPr>
          <w:rFonts w:hint="eastAsia" w:ascii="Times New Roman" w:hAnsi="Times New Roman" w:eastAsia="仿宋_GB2312" w:cs="Times New Roman"/>
          <w:bCs/>
          <w:kern w:val="2"/>
          <w:sz w:val="32"/>
          <w:szCs w:val="32"/>
          <w:highlight w:val="none"/>
          <w:lang w:val="en-US" w:eastAsia="zh-CN" w:bidi="ar-SA"/>
        </w:rPr>
        <w:t>常德市食品抽检专项</w:t>
      </w:r>
      <w:r>
        <w:rPr>
          <w:rFonts w:hint="eastAsia" w:ascii="仿宋_GB2312" w:hAnsi="仿宋_GB2312" w:eastAsia="仿宋_GB2312" w:cs="仿宋_GB2312"/>
          <w:color w:val="000000"/>
          <w:sz w:val="32"/>
          <w:szCs w:val="32"/>
          <w:highlight w:val="none"/>
        </w:rPr>
        <w:t>具体实施单位为:市食检所</w:t>
      </w:r>
      <w:r>
        <w:rPr>
          <w:rFonts w:hint="eastAsia" w:ascii="Times New Roman" w:hAnsi="Times New Roman" w:cs="Times New Roman"/>
          <w:bCs/>
          <w:kern w:val="2"/>
          <w:sz w:val="32"/>
          <w:szCs w:val="32"/>
          <w:highlight w:val="none"/>
          <w:lang w:val="en-US" w:eastAsia="zh-CN" w:bidi="ar-SA"/>
        </w:rPr>
        <w:t>；常德市药品抽检专项</w:t>
      </w:r>
      <w:r>
        <w:rPr>
          <w:rFonts w:hint="eastAsia" w:ascii="仿宋_GB2312" w:hAnsi="仿宋_GB2312" w:eastAsia="仿宋_GB2312" w:cs="仿宋_GB2312"/>
          <w:color w:val="000000"/>
          <w:sz w:val="32"/>
          <w:szCs w:val="32"/>
          <w:highlight w:val="none"/>
        </w:rPr>
        <w:t>具体实施单位为:市食</w:t>
      </w:r>
      <w:r>
        <w:rPr>
          <w:rFonts w:hint="eastAsia" w:ascii="仿宋_GB2312" w:hAnsi="仿宋_GB2312" w:cs="仿宋_GB2312"/>
          <w:color w:val="000000"/>
          <w:sz w:val="32"/>
          <w:szCs w:val="32"/>
          <w:highlight w:val="none"/>
          <w:lang w:eastAsia="zh-CN"/>
        </w:rPr>
        <w:t>药</w:t>
      </w:r>
      <w:r>
        <w:rPr>
          <w:rFonts w:hint="eastAsia" w:ascii="仿宋_GB2312" w:hAnsi="仿宋_GB2312" w:eastAsia="仿宋_GB2312" w:cs="仿宋_GB2312"/>
          <w:color w:val="000000"/>
          <w:sz w:val="32"/>
          <w:szCs w:val="32"/>
          <w:highlight w:val="none"/>
        </w:rPr>
        <w:t>检所</w:t>
      </w:r>
      <w:r>
        <w:rPr>
          <w:rFonts w:hint="eastAsia" w:ascii="仿宋_GB2312" w:hAnsi="仿宋_GB2312" w:cs="仿宋_GB2312"/>
          <w:color w:val="00000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Times New Roman" w:hAnsi="仿宋_GB2312" w:cs="仿宋_GB2312"/>
          <w:kern w:val="2"/>
          <w:sz w:val="32"/>
          <w:szCs w:val="32"/>
          <w:highlight w:val="none"/>
          <w:lang w:val="en-US" w:eastAsia="zh-CN" w:bidi="ar-SA"/>
        </w:rPr>
        <w:t>2021</w:t>
      </w:r>
      <w:r>
        <w:rPr>
          <w:rFonts w:hint="eastAsia" w:ascii="Times New Roman" w:hAnsi="仿宋_GB2312" w:eastAsia="仿宋_GB2312" w:cs="仿宋_GB2312"/>
          <w:kern w:val="2"/>
          <w:sz w:val="32"/>
          <w:szCs w:val="32"/>
          <w:highlight w:val="none"/>
          <w:lang w:val="en-US" w:eastAsia="zh-CN" w:bidi="ar-SA"/>
        </w:rPr>
        <w:t>年度抽检专项资金总收入</w:t>
      </w:r>
      <w:r>
        <w:rPr>
          <w:rFonts w:hint="eastAsia" w:ascii="Times New Roman" w:hAnsi="仿宋_GB2312" w:cs="仿宋_GB2312"/>
          <w:kern w:val="2"/>
          <w:sz w:val="32"/>
          <w:szCs w:val="32"/>
          <w:highlight w:val="none"/>
          <w:lang w:val="en-US" w:eastAsia="zh-CN" w:bidi="ar-SA"/>
        </w:rPr>
        <w:t>1874.79</w:t>
      </w:r>
      <w:r>
        <w:rPr>
          <w:rFonts w:hint="eastAsia" w:ascii="Times New Roman" w:hAnsi="仿宋_GB2312" w:eastAsia="仿宋_GB2312" w:cs="仿宋_GB2312"/>
          <w:kern w:val="2"/>
          <w:sz w:val="32"/>
          <w:szCs w:val="32"/>
          <w:highlight w:val="none"/>
          <w:lang w:val="en-US" w:eastAsia="zh-CN" w:bidi="ar-SA"/>
        </w:rPr>
        <w:t>万元</w:t>
      </w:r>
      <w:r>
        <w:rPr>
          <w:rFonts w:hint="eastAsia" w:ascii="Times New Roman" w:hAnsi="仿宋_GB2312" w:cs="仿宋_GB2312"/>
          <w:kern w:val="2"/>
          <w:sz w:val="32"/>
          <w:szCs w:val="32"/>
          <w:highlight w:val="none"/>
          <w:lang w:val="en-US" w:eastAsia="zh-CN" w:bidi="ar-SA"/>
        </w:rPr>
        <w:t>，其中</w:t>
      </w:r>
      <w:r>
        <w:rPr>
          <w:rFonts w:hint="eastAsia" w:ascii="Times New Roman" w:hAnsi="Times New Roman" w:cs="Times New Roman"/>
          <w:bCs/>
          <w:kern w:val="2"/>
          <w:sz w:val="32"/>
          <w:szCs w:val="32"/>
          <w:highlight w:val="none"/>
          <w:lang w:val="en-US" w:eastAsia="zh-CN" w:bidi="ar-SA"/>
        </w:rPr>
        <w:t>本年度预算收入</w:t>
      </w:r>
      <w:r>
        <w:rPr>
          <w:rFonts w:hint="eastAsia" w:ascii="Times New Roman" w:hAnsi="仿宋_GB2312" w:cs="仿宋_GB2312"/>
          <w:kern w:val="2"/>
          <w:sz w:val="32"/>
          <w:szCs w:val="32"/>
          <w:highlight w:val="none"/>
          <w:lang w:val="en-US" w:eastAsia="zh-CN" w:bidi="ar-SA"/>
        </w:rPr>
        <w:t>1698.14万元（</w:t>
      </w:r>
      <w:r>
        <w:rPr>
          <w:rFonts w:hint="eastAsia" w:ascii="Times New Roman" w:hAnsi="Times New Roman" w:eastAsia="仿宋_GB2312" w:cs="Times New Roman"/>
          <w:bCs/>
          <w:kern w:val="2"/>
          <w:sz w:val="32"/>
          <w:szCs w:val="32"/>
          <w:highlight w:val="none"/>
          <w:lang w:val="en-US" w:eastAsia="zh-CN" w:bidi="ar-SA"/>
        </w:rPr>
        <w:t>市食品安全监督抽检专项</w:t>
      </w:r>
      <w:r>
        <w:rPr>
          <w:rFonts w:hint="eastAsia" w:ascii="Times New Roman" w:hAnsi="Times New Roman" w:cs="Times New Roman"/>
          <w:bCs/>
          <w:kern w:val="2"/>
          <w:sz w:val="32"/>
          <w:szCs w:val="32"/>
          <w:highlight w:val="none"/>
          <w:lang w:val="en-US" w:eastAsia="zh-CN" w:bidi="ar-SA"/>
        </w:rPr>
        <w:t>1305万元、市食品抽检专项264.40万元、市药品抽检专项128.74万元</w:t>
      </w:r>
      <w:r>
        <w:rPr>
          <w:rFonts w:hint="eastAsia" w:ascii="Times New Roman" w:hAnsi="仿宋_GB2312" w:cs="仿宋_GB2312"/>
          <w:kern w:val="2"/>
          <w:sz w:val="32"/>
          <w:szCs w:val="32"/>
          <w:highlight w:val="none"/>
          <w:lang w:val="en-US" w:eastAsia="zh-CN" w:bidi="ar-SA"/>
        </w:rPr>
        <w:t>），上年结转176.65万元（</w:t>
      </w:r>
      <w:r>
        <w:rPr>
          <w:rFonts w:hint="eastAsia" w:ascii="Times New Roman" w:hAnsi="Times New Roman" w:eastAsia="仿宋_GB2312" w:cs="Times New Roman"/>
          <w:bCs/>
          <w:kern w:val="2"/>
          <w:sz w:val="32"/>
          <w:szCs w:val="32"/>
          <w:highlight w:val="none"/>
          <w:lang w:val="en-US" w:eastAsia="zh-CN" w:bidi="ar-SA"/>
        </w:rPr>
        <w:t>市食品安全监督抽检专项</w:t>
      </w:r>
      <w:r>
        <w:rPr>
          <w:rFonts w:hint="eastAsia" w:ascii="Times New Roman" w:hAnsi="Times New Roman" w:cs="Times New Roman"/>
          <w:bCs/>
          <w:kern w:val="2"/>
          <w:sz w:val="32"/>
          <w:szCs w:val="32"/>
          <w:highlight w:val="none"/>
          <w:lang w:val="en-US" w:eastAsia="zh-CN" w:bidi="ar-SA"/>
        </w:rPr>
        <w:t>154.76万元&lt;含拨付食安委相关成员单位资金&gt;；市药品抽检专项21.89万元</w:t>
      </w:r>
      <w:r>
        <w:rPr>
          <w:rFonts w:hint="eastAsia" w:ascii="Times New Roman" w:hAnsi="仿宋_GB2312" w:cs="仿宋_GB2312"/>
          <w:kern w:val="2"/>
          <w:sz w:val="32"/>
          <w:szCs w:val="32"/>
          <w:highlight w:val="none"/>
          <w:lang w:val="en-US" w:eastAsia="zh-CN" w:bidi="ar-SA"/>
        </w:rPr>
        <w:t>）。预算执行1785.65万元，预算执行率95.25%。其中</w:t>
      </w:r>
      <w:r>
        <w:rPr>
          <w:rFonts w:hint="eastAsia" w:ascii="Times New Roman" w:hAnsi="Times New Roman" w:eastAsia="仿宋_GB2312" w:cs="Times New Roman"/>
          <w:bCs/>
          <w:kern w:val="2"/>
          <w:sz w:val="32"/>
          <w:szCs w:val="32"/>
          <w:highlight w:val="none"/>
          <w:lang w:val="en-US" w:eastAsia="zh-CN" w:bidi="ar-SA"/>
        </w:rPr>
        <w:t>市食品安全监督抽检专项</w:t>
      </w:r>
      <w:r>
        <w:rPr>
          <w:rFonts w:hint="eastAsia" w:ascii="Times New Roman" w:hAnsi="Times New Roman" w:cs="Times New Roman"/>
          <w:bCs/>
          <w:kern w:val="2"/>
          <w:sz w:val="32"/>
          <w:szCs w:val="32"/>
          <w:highlight w:val="none"/>
          <w:lang w:val="en-US" w:eastAsia="zh-CN" w:bidi="ar-SA"/>
        </w:rPr>
        <w:t>1370.62万元，执行率93.89%；市食品抽检专项264.40万元，执行率100%；市药品抽检专项150.63万元，执行率100%。</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cs="仿宋_GB2312"/>
          <w:color w:val="auto"/>
          <w:sz w:val="32"/>
          <w:szCs w:val="32"/>
          <w:highlight w:val="none"/>
          <w:lang w:val="en-US" w:eastAsia="zh-CN"/>
        </w:rPr>
      </w:pPr>
      <w:r>
        <w:rPr>
          <w:rFonts w:hint="eastAsia" w:ascii="Times New Roman" w:hAnsi="Times New Roman" w:eastAsia="仿宋_GB2312" w:cs="Times New Roman"/>
          <w:bCs/>
          <w:kern w:val="2"/>
          <w:sz w:val="32"/>
          <w:szCs w:val="32"/>
          <w:highlight w:val="none"/>
          <w:lang w:val="en-US" w:eastAsia="zh-CN" w:bidi="ar-SA"/>
        </w:rPr>
        <w:t>市食品安全监督抽检专项</w:t>
      </w:r>
      <w:r>
        <w:rPr>
          <w:rFonts w:hint="eastAsia" w:ascii="Times New Roman" w:hAnsi="Times New Roman" w:cs="Times New Roman"/>
          <w:bCs/>
          <w:kern w:val="2"/>
          <w:sz w:val="32"/>
          <w:szCs w:val="32"/>
          <w:highlight w:val="none"/>
          <w:lang w:val="en-US" w:eastAsia="zh-CN" w:bidi="ar-SA"/>
        </w:rPr>
        <w:t>中市场监管系统总收入798.67万元，其中本年度预算收入711.5万元（局本级131.50万元、市产检所290.00万元、市食检所290.00万元），上年结转87.17万元（市产检所57.98万元、市食检所29.19万元）。预算执行750.43万元（局本级131.50万元、市产检所317.25万元、市食检所301.68万元），预算执行率93.96%。</w:t>
      </w:r>
      <w:r>
        <w:rPr>
          <w:rFonts w:hint="eastAsia" w:ascii="Times New Roman" w:hAnsi="Times New Roman" w:eastAsia="仿宋_GB2312" w:cs="Times New Roman"/>
          <w:bCs/>
          <w:kern w:val="2"/>
          <w:sz w:val="32"/>
          <w:szCs w:val="32"/>
          <w:highlight w:val="none"/>
          <w:lang w:val="en-US" w:eastAsia="zh-CN" w:bidi="ar-SA"/>
        </w:rPr>
        <w:t>市食品安全监督抽检专项</w:t>
      </w:r>
      <w:r>
        <w:rPr>
          <w:rFonts w:hint="eastAsia" w:ascii="Times New Roman" w:hAnsi="Times New Roman" w:cs="Times New Roman"/>
          <w:bCs/>
          <w:color w:val="auto"/>
          <w:kern w:val="2"/>
          <w:sz w:val="32"/>
          <w:szCs w:val="32"/>
          <w:highlight w:val="none"/>
          <w:lang w:val="en-US" w:eastAsia="zh-CN" w:bidi="ar-SA"/>
        </w:rPr>
        <w:t>由市财政部门根据市食安委下达抽检计划，将资金直接下达至食安委相关成员单位，总收入661.09万元，其中本年度预算收入593.50万元、上年结转67.59万元。预算执行620.19万元，预算执行率93.81%。</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640"/>
        <w:textAlignment w:val="auto"/>
        <w:rPr>
          <w:rFonts w:hint="eastAsia"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2.国家食品安全示范城创建专项</w:t>
      </w:r>
    </w:p>
    <w:p>
      <w:pPr>
        <w:keepNext w:val="0"/>
        <w:keepLines w:val="0"/>
        <w:pageBreakBefore w:val="0"/>
        <w:widowControl w:val="0"/>
        <w:kinsoku/>
        <w:wordWrap/>
        <w:overflowPunct/>
        <w:topLinePunct w:val="0"/>
        <w:autoSpaceDE/>
        <w:autoSpaceDN/>
        <w:bidi w:val="0"/>
        <w:adjustRightInd/>
        <w:spacing w:line="560" w:lineRule="exact"/>
        <w:ind w:left="120" w:firstLine="553" w:firstLineChars="173"/>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202</w:t>
      </w:r>
      <w:r>
        <w:rPr>
          <w:rFonts w:hint="eastAsia" w:ascii="Times New Roman" w:hAnsi="Times New Roman" w:eastAsia="仿宋_GB2312" w:cs="Times New Roman"/>
          <w:bCs/>
          <w:kern w:val="2"/>
          <w:sz w:val="32"/>
          <w:szCs w:val="32"/>
          <w:highlight w:val="none"/>
          <w:lang w:val="en-US" w:eastAsia="zh-CN" w:bidi="ar-SA"/>
        </w:rPr>
        <w:t>1年国家食品安全示范城创建专项预算</w:t>
      </w:r>
      <w:r>
        <w:rPr>
          <w:rFonts w:hint="eastAsia" w:ascii="Times New Roman" w:hAnsi="Times New Roman" w:cs="Times New Roman"/>
          <w:bCs/>
          <w:kern w:val="2"/>
          <w:sz w:val="32"/>
          <w:szCs w:val="32"/>
          <w:highlight w:val="none"/>
          <w:lang w:val="en-US" w:eastAsia="zh-CN" w:bidi="ar-SA"/>
        </w:rPr>
        <w:t>收入</w:t>
      </w:r>
      <w:r>
        <w:rPr>
          <w:rFonts w:hint="default" w:ascii="Times New Roman" w:hAnsi="Times New Roman" w:eastAsia="仿宋_GB2312" w:cs="Times New Roman"/>
          <w:bCs/>
          <w:kern w:val="2"/>
          <w:sz w:val="32"/>
          <w:szCs w:val="32"/>
          <w:highlight w:val="none"/>
          <w:lang w:val="en-US" w:eastAsia="zh-CN" w:bidi="ar-SA"/>
        </w:rPr>
        <w:t>200</w:t>
      </w:r>
      <w:r>
        <w:rPr>
          <w:rFonts w:hint="eastAsia" w:ascii="Times New Roman" w:hAnsi="Times New Roman" w:eastAsia="仿宋_GB2312" w:cs="Times New Roman"/>
          <w:bCs/>
          <w:kern w:val="2"/>
          <w:sz w:val="32"/>
          <w:szCs w:val="32"/>
          <w:highlight w:val="none"/>
          <w:lang w:val="en-US" w:eastAsia="zh-CN" w:bidi="ar-SA"/>
        </w:rPr>
        <w:t>.00万元</w:t>
      </w:r>
      <w:r>
        <w:rPr>
          <w:rFonts w:hint="default" w:ascii="Times New Roman" w:hAnsi="Times New Roman" w:eastAsia="仿宋_GB2312" w:cs="Times New Roman"/>
          <w:bCs/>
          <w:kern w:val="2"/>
          <w:sz w:val="32"/>
          <w:szCs w:val="32"/>
          <w:highlight w:val="none"/>
          <w:lang w:val="en-US" w:eastAsia="zh-CN" w:bidi="ar-SA"/>
        </w:rPr>
        <w:t>,</w:t>
      </w:r>
      <w:r>
        <w:rPr>
          <w:rFonts w:hint="eastAsia" w:ascii="Times New Roman" w:hAnsi="Times New Roman" w:eastAsia="仿宋_GB2312" w:cs="Times New Roman"/>
          <w:bCs/>
          <w:kern w:val="2"/>
          <w:sz w:val="32"/>
          <w:szCs w:val="32"/>
          <w:highlight w:val="none"/>
          <w:lang w:val="en-US" w:eastAsia="zh-CN" w:bidi="ar-SA"/>
        </w:rPr>
        <w:t>无上年结转。预算执行179.20万元，</w:t>
      </w:r>
      <w:r>
        <w:rPr>
          <w:rFonts w:hint="eastAsia" w:ascii="Times New Roman" w:hAnsi="Times New Roman" w:cs="Times New Roman"/>
          <w:bCs/>
          <w:kern w:val="2"/>
          <w:sz w:val="32"/>
          <w:szCs w:val="32"/>
          <w:highlight w:val="none"/>
          <w:lang w:val="en-US" w:eastAsia="zh-CN" w:bidi="ar-SA"/>
        </w:rPr>
        <w:t>预算执行率87.60%。食安工作满意度测评经费20.86万元，结转至2022年已支付。</w:t>
      </w:r>
    </w:p>
    <w:p>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楷体" w:hAnsi="楷体" w:eastAsia="楷体" w:cs="楷体"/>
          <w:kern w:val="0"/>
          <w:sz w:val="32"/>
          <w:szCs w:val="32"/>
          <w:highlight w:val="none"/>
          <w:lang w:val="en-US" w:eastAsia="zh-CN"/>
        </w:rPr>
      </w:pPr>
      <w:r>
        <w:rPr>
          <w:rFonts w:hint="eastAsia" w:ascii="楷体" w:hAnsi="楷体" w:eastAsia="楷体" w:cs="楷体"/>
          <w:kern w:val="0"/>
          <w:sz w:val="32"/>
          <w:szCs w:val="32"/>
          <w:highlight w:val="none"/>
          <w:lang w:val="en-US" w:eastAsia="zh-CN"/>
        </w:rPr>
        <w:t>3.知识产权专项</w:t>
      </w:r>
    </w:p>
    <w:p>
      <w:pPr>
        <w:pStyle w:val="2"/>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Times New Roman" w:hAnsi="Times New Roman" w:eastAsia="仿宋_GB2312" w:cs="Times New Roman"/>
          <w:bCs/>
          <w:kern w:val="2"/>
          <w:sz w:val="32"/>
          <w:szCs w:val="32"/>
          <w:highlight w:val="none"/>
          <w:lang w:val="en-US" w:eastAsia="zh-CN" w:bidi="ar-SA"/>
        </w:rPr>
      </w:pPr>
      <w:r>
        <w:rPr>
          <w:rFonts w:hint="eastAsia" w:ascii="Times New Roman" w:hAnsi="Times New Roman" w:eastAsia="仿宋_GB2312" w:cs="Times New Roman"/>
          <w:bCs/>
          <w:kern w:val="2"/>
          <w:sz w:val="32"/>
          <w:szCs w:val="32"/>
          <w:highlight w:val="none"/>
          <w:lang w:val="en-US" w:eastAsia="zh-CN" w:bidi="ar-SA"/>
        </w:rPr>
        <w:t>知识产权专项主要用于对当年获得授权的发明专利和知识产权试点企业资助，</w:t>
      </w:r>
      <w:r>
        <w:rPr>
          <w:rFonts w:hint="eastAsia" w:ascii="Times New Roman" w:hAnsi="Times New Roman" w:cs="Times New Roman"/>
          <w:bCs/>
          <w:kern w:val="2"/>
          <w:sz w:val="32"/>
          <w:szCs w:val="32"/>
          <w:highlight w:val="none"/>
          <w:lang w:val="en-US" w:eastAsia="zh-CN" w:bidi="ar-SA"/>
        </w:rPr>
        <w:t>由市财政部门直接下达至相关企业及单位。该专项本年度预算收入500.00万元，</w:t>
      </w:r>
      <w:r>
        <w:rPr>
          <w:rFonts w:hint="eastAsia" w:ascii="Times New Roman" w:hAnsi="Times New Roman" w:eastAsia="仿宋_GB2312" w:cs="Times New Roman"/>
          <w:bCs/>
          <w:kern w:val="2"/>
          <w:sz w:val="32"/>
          <w:szCs w:val="32"/>
          <w:highlight w:val="none"/>
          <w:lang w:val="en-US" w:eastAsia="zh-CN" w:bidi="ar-SA"/>
        </w:rPr>
        <w:t>预算执行</w:t>
      </w:r>
      <w:r>
        <w:rPr>
          <w:rFonts w:hint="eastAsia" w:ascii="Times New Roman" w:hAnsi="Times New Roman" w:cs="Times New Roman"/>
          <w:bCs/>
          <w:kern w:val="2"/>
          <w:sz w:val="32"/>
          <w:szCs w:val="32"/>
          <w:highlight w:val="none"/>
          <w:lang w:val="en-US" w:eastAsia="zh-CN" w:bidi="ar-SA"/>
        </w:rPr>
        <w:t>499.85</w:t>
      </w:r>
      <w:r>
        <w:rPr>
          <w:rFonts w:hint="eastAsia" w:ascii="Times New Roman" w:hAnsi="Times New Roman" w:eastAsia="仿宋_GB2312" w:cs="Times New Roman"/>
          <w:bCs/>
          <w:kern w:val="2"/>
          <w:sz w:val="32"/>
          <w:szCs w:val="32"/>
          <w:highlight w:val="none"/>
          <w:lang w:val="en-US" w:eastAsia="zh-CN" w:bidi="ar-SA"/>
        </w:rPr>
        <w:t>万元，</w:t>
      </w:r>
      <w:r>
        <w:rPr>
          <w:rFonts w:hint="eastAsia" w:ascii="Times New Roman" w:hAnsi="Times New Roman" w:cs="Times New Roman"/>
          <w:bCs/>
          <w:kern w:val="2"/>
          <w:sz w:val="32"/>
          <w:szCs w:val="32"/>
          <w:highlight w:val="none"/>
          <w:lang w:val="en-US" w:eastAsia="zh-CN" w:bidi="ar-SA"/>
        </w:rPr>
        <w:t>预算执行率99.97%。</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Times New Roman" w:hAnsi="Times New Roman" w:eastAsia="楷体_GB2312" w:cs="Times New Roman"/>
          <w:b w:val="0"/>
          <w:bCs/>
          <w:kern w:val="2"/>
          <w:sz w:val="32"/>
          <w:szCs w:val="32"/>
          <w:lang w:val="en-US" w:eastAsia="zh-CN" w:bidi="ar-SA"/>
        </w:rPr>
      </w:pPr>
      <w:r>
        <w:rPr>
          <w:rFonts w:hint="eastAsia" w:ascii="Times New Roman" w:hAnsi="Times New Roman" w:cs="Times New Roman"/>
          <w:bCs/>
          <w:sz w:val="32"/>
          <w:szCs w:val="32"/>
          <w:lang w:val="en-US" w:eastAsia="zh-CN"/>
        </w:rPr>
        <w:t>（三）“</w:t>
      </w:r>
      <w:r>
        <w:rPr>
          <w:rFonts w:hint="eastAsia" w:ascii="Times New Roman" w:hAnsi="Times New Roman" w:eastAsia="楷体_GB2312" w:cs="Times New Roman"/>
          <w:b w:val="0"/>
          <w:bCs/>
          <w:kern w:val="2"/>
          <w:sz w:val="32"/>
          <w:szCs w:val="32"/>
          <w:lang w:val="en-US" w:eastAsia="zh-CN" w:bidi="ar-SA"/>
        </w:rPr>
        <w:t>三公经费”支出情况</w:t>
      </w:r>
    </w:p>
    <w:p>
      <w:pPr>
        <w:pStyle w:val="4"/>
        <w:numPr>
          <w:ilvl w:val="0"/>
          <w:numId w:val="0"/>
        </w:numPr>
        <w:rPr>
          <w:rFonts w:hint="default" w:ascii="Times New Roman" w:hAnsi="Times New Roman" w:eastAsia="仿宋_GB2312" w:cs="Times New Roman"/>
          <w:bCs/>
          <w:kern w:val="2"/>
          <w:sz w:val="32"/>
          <w:szCs w:val="32"/>
          <w:lang w:val="en-US" w:eastAsia="zh-CN" w:bidi="ar-SA"/>
        </w:rPr>
      </w:pPr>
      <w:r>
        <w:rPr>
          <w:rFonts w:hint="eastAsia"/>
          <w:lang w:val="en-US" w:eastAsia="zh-CN"/>
        </w:rPr>
        <w:t xml:space="preserve">     </w:t>
      </w:r>
      <w:r>
        <w:rPr>
          <w:rFonts w:hint="default" w:ascii="Times New Roman" w:hAnsi="Times New Roman" w:eastAsia="仿宋_GB2312" w:cs="Times New Roman"/>
          <w:bCs/>
          <w:kern w:val="2"/>
          <w:sz w:val="32"/>
          <w:szCs w:val="32"/>
          <w:lang w:val="en-US" w:eastAsia="zh-CN" w:bidi="ar-SA"/>
        </w:rPr>
        <w:t>202</w:t>
      </w:r>
      <w:r>
        <w:rPr>
          <w:rFonts w:hint="eastAsia" w:ascii="Times New Roman" w:hAnsi="Times New Roman" w:eastAsia="仿宋_GB2312"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年“三公经费”年初预算1</w:t>
      </w:r>
      <w:r>
        <w:rPr>
          <w:rFonts w:hint="eastAsia" w:ascii="Times New Roman" w:hAnsi="Times New Roman" w:cs="Times New Roman"/>
          <w:bCs/>
          <w:kern w:val="2"/>
          <w:sz w:val="32"/>
          <w:szCs w:val="32"/>
          <w:lang w:val="en-US" w:eastAsia="zh-CN" w:bidi="ar-SA"/>
        </w:rPr>
        <w:t>69.50</w:t>
      </w:r>
      <w:r>
        <w:rPr>
          <w:rFonts w:hint="default" w:ascii="Times New Roman" w:hAnsi="Times New Roman" w:eastAsia="仿宋_GB2312" w:cs="Times New Roman"/>
          <w:bCs/>
          <w:kern w:val="2"/>
          <w:sz w:val="32"/>
          <w:szCs w:val="32"/>
          <w:lang w:val="en-US" w:eastAsia="zh-CN" w:bidi="ar-SA"/>
        </w:rPr>
        <w:t>万元</w:t>
      </w:r>
      <w:r>
        <w:rPr>
          <w:rFonts w:hint="eastAsia" w:ascii="Times New Roman" w:hAnsi="Times New Roman"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一般公共预算“三公经费”</w:t>
      </w:r>
      <w:r>
        <w:rPr>
          <w:rFonts w:hint="default" w:ascii="Times New Roman" w:hAnsi="Times New Roman" w:eastAsia="仿宋_GB2312" w:cs="Times New Roman"/>
          <w:bCs/>
          <w:kern w:val="2"/>
          <w:sz w:val="32"/>
          <w:szCs w:val="32"/>
          <w:lang w:val="en-US" w:eastAsia="zh-CN" w:bidi="ar-SA"/>
        </w:rPr>
        <w:t>决算</w:t>
      </w:r>
      <w:r>
        <w:rPr>
          <w:rFonts w:hint="eastAsia" w:ascii="Times New Roman" w:hAnsi="Times New Roman" w:cs="Times New Roman"/>
          <w:bCs/>
          <w:kern w:val="2"/>
          <w:sz w:val="32"/>
          <w:szCs w:val="32"/>
          <w:lang w:val="en-US" w:eastAsia="zh-CN" w:bidi="ar-SA"/>
        </w:rPr>
        <w:t>支出158.61</w:t>
      </w:r>
      <w:r>
        <w:rPr>
          <w:rFonts w:hint="default" w:ascii="Times New Roman" w:hAnsi="Times New Roman" w:eastAsia="仿宋_GB2312" w:cs="Times New Roman"/>
          <w:bCs/>
          <w:kern w:val="2"/>
          <w:sz w:val="32"/>
          <w:szCs w:val="32"/>
          <w:lang w:val="en-US" w:eastAsia="zh-CN" w:bidi="ar-SA"/>
        </w:rPr>
        <w:t>万元</w:t>
      </w:r>
      <w:r>
        <w:rPr>
          <w:rFonts w:hint="eastAsia" w:ascii="Times New Roman" w:hAnsi="Times New Roman" w:cs="Times New Roman"/>
          <w:bCs/>
          <w:kern w:val="2"/>
          <w:sz w:val="32"/>
          <w:szCs w:val="32"/>
          <w:lang w:val="en-US" w:eastAsia="zh-CN" w:bidi="ar-SA"/>
        </w:rPr>
        <w:t>，执行率93.57%</w:t>
      </w:r>
      <w:r>
        <w:rPr>
          <w:rFonts w:hint="default" w:ascii="Times New Roman" w:hAnsi="Times New Roman" w:eastAsia="仿宋_GB2312" w:cs="Times New Roman"/>
          <w:bCs/>
          <w:kern w:val="2"/>
          <w:sz w:val="32"/>
          <w:szCs w:val="32"/>
          <w:lang w:val="en-US" w:eastAsia="zh-CN" w:bidi="ar-SA"/>
        </w:rPr>
        <w:t>。</w:t>
      </w:r>
    </w:p>
    <w:tbl>
      <w:tblPr>
        <w:tblStyle w:val="8"/>
        <w:tblW w:w="8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7"/>
        <w:gridCol w:w="883"/>
        <w:gridCol w:w="902"/>
        <w:gridCol w:w="915"/>
        <w:gridCol w:w="1155"/>
        <w:gridCol w:w="930"/>
        <w:gridCol w:w="121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37"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楷体_GB2312" w:cs="Times New Roman"/>
                <w:b w:val="0"/>
                <w:bCs/>
                <w:sz w:val="28"/>
                <w:szCs w:val="28"/>
                <w:lang w:val="en-US" w:eastAsia="zh-CN"/>
              </w:rPr>
              <w:t>一般公共预算“三公经费”支出预、决算及上年对比表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77"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88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02"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1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5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175" w:type="dxa"/>
            <w:gridSpan w:val="2"/>
            <w:tcBorders>
              <w:top w:val="nil"/>
              <w:left w:val="nil"/>
              <w:bottom w:val="nil"/>
              <w:right w:val="nil"/>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2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内容</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2020</w:t>
            </w:r>
            <w:r>
              <w:rPr>
                <w:rFonts w:hint="eastAsia" w:ascii="仿宋" w:hAnsi="仿宋" w:eastAsia="仿宋" w:cs="仿宋"/>
                <w:i w:val="0"/>
                <w:iCs w:val="0"/>
                <w:color w:val="000000"/>
                <w:kern w:val="0"/>
                <w:sz w:val="18"/>
                <w:szCs w:val="18"/>
                <w:u w:val="none"/>
                <w:lang w:val="en-US" w:eastAsia="zh-CN" w:bidi="ar"/>
              </w:rPr>
              <w:t>年决算</w:t>
            </w:r>
          </w:p>
        </w:tc>
        <w:tc>
          <w:tcPr>
            <w:tcW w:w="9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仿宋" w:hAnsi="仿宋" w:eastAsia="仿宋" w:cs="仿宋"/>
                <w:i w:val="0"/>
                <w:iCs w:val="0"/>
                <w:color w:val="000000"/>
                <w:kern w:val="0"/>
                <w:sz w:val="18"/>
                <w:szCs w:val="18"/>
                <w:u w:val="none"/>
                <w:lang w:val="en-US" w:eastAsia="zh-CN" w:bidi="ar"/>
              </w:rPr>
              <w:t>年预算</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仿宋" w:hAnsi="仿宋" w:eastAsia="仿宋" w:cs="仿宋"/>
                <w:i w:val="0"/>
                <w:iCs w:val="0"/>
                <w:color w:val="000000"/>
                <w:kern w:val="0"/>
                <w:sz w:val="18"/>
                <w:szCs w:val="18"/>
                <w:u w:val="none"/>
                <w:lang w:val="en-US" w:eastAsia="zh-CN" w:bidi="ar"/>
              </w:rPr>
              <w:t>年决算</w:t>
            </w:r>
          </w:p>
        </w:tc>
        <w:tc>
          <w:tcPr>
            <w:tcW w:w="20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仿宋" w:hAnsi="仿宋" w:eastAsia="仿宋" w:cs="仿宋"/>
                <w:i w:val="0"/>
                <w:iCs w:val="0"/>
                <w:color w:val="000000"/>
                <w:kern w:val="0"/>
                <w:sz w:val="18"/>
                <w:szCs w:val="18"/>
                <w:u w:val="none"/>
                <w:lang w:val="en-US" w:eastAsia="zh-CN" w:bidi="ar"/>
              </w:rPr>
              <w:t>年决算较年初预算增</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p>
        </w:tc>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2021</w:t>
            </w:r>
            <w:r>
              <w:rPr>
                <w:rFonts w:hint="eastAsia" w:ascii="仿宋" w:hAnsi="仿宋" w:eastAsia="仿宋" w:cs="仿宋"/>
                <w:i w:val="0"/>
                <w:iCs w:val="0"/>
                <w:color w:val="000000"/>
                <w:kern w:val="0"/>
                <w:sz w:val="18"/>
                <w:szCs w:val="18"/>
                <w:u w:val="none"/>
                <w:lang w:val="en-US" w:eastAsia="zh-CN" w:bidi="ar"/>
              </w:rPr>
              <w:t>年决算较上年决算增</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（减</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宋体" w:cs="Times New Roman"/>
                <w:i w:val="0"/>
                <w:iCs w:val="0"/>
                <w:color w:val="000000"/>
                <w:sz w:val="18"/>
                <w:szCs w:val="18"/>
                <w:u w:val="none"/>
              </w:rPr>
            </w:pPr>
          </w:p>
        </w:tc>
        <w:tc>
          <w:tcPr>
            <w:tcW w:w="9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宋体" w:cs="Times New Roman"/>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比例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公务接待费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32.99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44.00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21.87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-50.30%</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公车购置及运行维护费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136.51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125.50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136.74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11.24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其中：公务用车购置费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50.00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45.00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58.92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13.92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30.93%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8.92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公务用车运行维护费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86.51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80.50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77.82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-8.69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因公出国出境费</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169.50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169.50 </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158.61 </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w:t>
            </w:r>
          </w:p>
        </w:tc>
      </w:tr>
    </w:tbl>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表上反映情况说明：</w:t>
      </w:r>
    </w:p>
    <w:p>
      <w:pPr>
        <w:pStyle w:val="4"/>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公务接待费：2021年决算数比预算数减少22.13万元；比上年决算减少11.12万元。主要原因：厉行节约，加强公务接待费审批管理。</w:t>
      </w:r>
    </w:p>
    <w:p>
      <w:pPr>
        <w:pStyle w:val="4"/>
        <w:rPr>
          <w:rFonts w:hint="default" w:ascii="Times New Roman" w:hAnsi="Times New Roman" w:eastAsia="仿宋_GB2312" w:cs="Times New Roman"/>
          <w:bCs/>
          <w:kern w:val="2"/>
          <w:sz w:val="32"/>
          <w:szCs w:val="32"/>
          <w:highlight w:val="yellow"/>
          <w:lang w:val="en-US" w:eastAsia="zh-CN" w:bidi="ar-SA"/>
        </w:rPr>
      </w:pPr>
      <w:r>
        <w:rPr>
          <w:rFonts w:hint="eastAsia" w:ascii="Times New Roman" w:hAnsi="Times New Roman" w:cs="Times New Roman"/>
          <w:bCs/>
          <w:kern w:val="2"/>
          <w:sz w:val="32"/>
          <w:szCs w:val="32"/>
          <w:highlight w:val="none"/>
          <w:lang w:val="en-US" w:eastAsia="zh-CN" w:bidi="ar-SA"/>
        </w:rPr>
        <w:t>2、</w:t>
      </w:r>
      <w:r>
        <w:rPr>
          <w:rFonts w:hint="default" w:ascii="Times New Roman" w:hAnsi="Times New Roman" w:eastAsia="仿宋_GB2312" w:cs="Times New Roman"/>
          <w:bCs/>
          <w:kern w:val="2"/>
          <w:sz w:val="32"/>
          <w:szCs w:val="32"/>
          <w:highlight w:val="none"/>
          <w:lang w:val="en-US" w:eastAsia="zh-CN" w:bidi="ar-SA"/>
        </w:rPr>
        <w:t>公务用车购置费：2021年决算数比预算数</w:t>
      </w:r>
      <w:r>
        <w:rPr>
          <w:rFonts w:hint="eastAsia" w:ascii="Times New Roman" w:hAnsi="Times New Roman" w:cs="Times New Roman"/>
          <w:bCs/>
          <w:kern w:val="2"/>
          <w:sz w:val="32"/>
          <w:szCs w:val="32"/>
          <w:highlight w:val="none"/>
          <w:lang w:val="en-US" w:eastAsia="zh-CN" w:bidi="ar-SA"/>
        </w:rPr>
        <w:t>增加13.92</w:t>
      </w:r>
      <w:r>
        <w:rPr>
          <w:rFonts w:hint="default" w:ascii="Times New Roman" w:hAnsi="Times New Roman" w:eastAsia="仿宋_GB2312" w:cs="Times New Roman"/>
          <w:bCs/>
          <w:kern w:val="2"/>
          <w:sz w:val="32"/>
          <w:szCs w:val="32"/>
          <w:highlight w:val="none"/>
          <w:lang w:val="en-US" w:eastAsia="zh-CN" w:bidi="ar-SA"/>
        </w:rPr>
        <w:t>万元；比上年决算</w:t>
      </w:r>
      <w:r>
        <w:rPr>
          <w:rFonts w:hint="eastAsia" w:ascii="Times New Roman" w:hAnsi="Times New Roman" w:cs="Times New Roman"/>
          <w:bCs/>
          <w:kern w:val="2"/>
          <w:sz w:val="32"/>
          <w:szCs w:val="32"/>
          <w:highlight w:val="none"/>
          <w:lang w:val="en-US" w:eastAsia="zh-CN" w:bidi="ar-SA"/>
        </w:rPr>
        <w:t>增加8.92</w:t>
      </w:r>
      <w:r>
        <w:rPr>
          <w:rFonts w:hint="default" w:ascii="Times New Roman" w:hAnsi="Times New Roman" w:eastAsia="仿宋_GB2312" w:cs="Times New Roman"/>
          <w:bCs/>
          <w:kern w:val="2"/>
          <w:sz w:val="32"/>
          <w:szCs w:val="32"/>
          <w:highlight w:val="none"/>
          <w:lang w:val="en-US" w:eastAsia="zh-CN" w:bidi="ar-SA"/>
        </w:rPr>
        <w:t>万元。主要原因：</w:t>
      </w:r>
      <w:r>
        <w:rPr>
          <w:rFonts w:hint="eastAsia" w:ascii="Times New Roman" w:hAnsi="Times New Roman" w:cs="Times New Roman"/>
          <w:bCs/>
          <w:kern w:val="2"/>
          <w:sz w:val="32"/>
          <w:szCs w:val="32"/>
          <w:highlight w:val="none"/>
          <w:lang w:val="en-US" w:eastAsia="zh-CN" w:bidi="ar-SA"/>
        </w:rPr>
        <w:t>1.局机关置换公务用车2辆年初预算45万元，实际支出41.82万元；2.市财政部门追加</w:t>
      </w:r>
      <w:r>
        <w:rPr>
          <w:rFonts w:hint="eastAsia" w:ascii="Times New Roman" w:hAnsi="Times New Roman" w:eastAsia="仿宋_GB2312" w:cs="Times New Roman"/>
          <w:bCs/>
          <w:kern w:val="2"/>
          <w:sz w:val="32"/>
          <w:szCs w:val="32"/>
          <w:highlight w:val="none"/>
          <w:lang w:val="en-US" w:eastAsia="zh-CN" w:bidi="ar-SA"/>
        </w:rPr>
        <w:t>市</w:t>
      </w:r>
      <w:r>
        <w:rPr>
          <w:rFonts w:hint="eastAsia" w:ascii="Times New Roman" w:hAnsi="Times New Roman" w:cs="Times New Roman"/>
          <w:bCs/>
          <w:kern w:val="2"/>
          <w:sz w:val="32"/>
          <w:szCs w:val="32"/>
          <w:highlight w:val="none"/>
          <w:lang w:val="en-US" w:eastAsia="zh-CN" w:bidi="ar-SA"/>
        </w:rPr>
        <w:t>食药检</w:t>
      </w:r>
      <w:r>
        <w:rPr>
          <w:rFonts w:hint="eastAsia" w:ascii="Times New Roman" w:hAnsi="Times New Roman" w:eastAsia="仿宋_GB2312" w:cs="Times New Roman"/>
          <w:bCs/>
          <w:kern w:val="2"/>
          <w:sz w:val="32"/>
          <w:szCs w:val="32"/>
          <w:highlight w:val="none"/>
          <w:lang w:val="en-US" w:eastAsia="zh-CN" w:bidi="ar-SA"/>
        </w:rPr>
        <w:t>所</w:t>
      </w:r>
      <w:r>
        <w:rPr>
          <w:rFonts w:hint="eastAsia" w:ascii="Times New Roman" w:hAnsi="Times New Roman" w:cs="Times New Roman"/>
          <w:bCs/>
          <w:kern w:val="2"/>
          <w:sz w:val="32"/>
          <w:szCs w:val="32"/>
          <w:highlight w:val="none"/>
          <w:lang w:val="en-US" w:eastAsia="zh-CN" w:bidi="ar-SA"/>
        </w:rPr>
        <w:t>置换业务用车1辆，预算金额17.10万元，实际支出17.10万元。</w:t>
      </w:r>
    </w:p>
    <w:p>
      <w:pPr>
        <w:pStyle w:val="4"/>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3.公务用车运行维护费：2021年决算数比预算数减少2.68万元；比上年决算减少8.69万元。主要原因：一是我单位严控了公务车辆管理，二是车辆更新后车辆维修费</w:t>
      </w:r>
      <w:r>
        <w:rPr>
          <w:rFonts w:hint="eastAsia" w:ascii="Times New Roman" w:hAnsi="Times New Roman" w:cs="Times New Roman"/>
          <w:bCs/>
          <w:kern w:val="2"/>
          <w:sz w:val="32"/>
          <w:szCs w:val="32"/>
          <w:lang w:val="en-US" w:eastAsia="zh-CN" w:bidi="ar-SA"/>
        </w:rPr>
        <w:t>等</w:t>
      </w:r>
      <w:r>
        <w:rPr>
          <w:rFonts w:hint="default" w:ascii="Times New Roman" w:hAnsi="Times New Roman" w:eastAsia="仿宋_GB2312" w:cs="Times New Roman"/>
          <w:bCs/>
          <w:kern w:val="2"/>
          <w:sz w:val="32"/>
          <w:szCs w:val="32"/>
          <w:lang w:val="en-US" w:eastAsia="zh-CN" w:bidi="ar-SA"/>
        </w:rPr>
        <w:t>减少。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rPr>
          <w:rFonts w:hint="eastAsia" w:ascii="微软雅黑" w:hAnsi="微软雅黑" w:eastAsia="微软雅黑" w:cs="微软雅黑"/>
          <w:i w:val="0"/>
          <w:iCs w:val="0"/>
          <w:caps w:val="0"/>
          <w:color w:val="333333"/>
          <w:spacing w:val="0"/>
          <w:sz w:val="32"/>
          <w:szCs w:val="32"/>
          <w:shd w:val="clear" w:color="auto" w:fill="auto"/>
        </w:rPr>
      </w:pPr>
      <w:r>
        <w:rPr>
          <w:rFonts w:hint="eastAsia" w:ascii="黑体" w:hAnsi="宋体" w:eastAsia="黑体" w:cs="黑体"/>
          <w:i w:val="0"/>
          <w:iCs w:val="0"/>
          <w:caps w:val="0"/>
          <w:color w:val="333333"/>
          <w:spacing w:val="0"/>
          <w:sz w:val="32"/>
          <w:szCs w:val="32"/>
          <w:shd w:val="clear" w:color="auto" w:fill="auto"/>
        </w:rPr>
        <w:t>三、政府性基金预算支出情况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2021年度</w:t>
      </w:r>
      <w:r>
        <w:rPr>
          <w:rFonts w:hint="eastAsia" w:ascii="仿宋_GB2312" w:hAnsi="微软雅黑" w:cs="仿宋_GB2312"/>
          <w:i w:val="0"/>
          <w:iCs w:val="0"/>
          <w:caps w:val="0"/>
          <w:color w:val="333333"/>
          <w:spacing w:val="0"/>
          <w:kern w:val="0"/>
          <w:sz w:val="32"/>
          <w:szCs w:val="32"/>
          <w:shd w:val="clear" w:color="auto" w:fill="FFFFFF"/>
          <w:lang w:val="en-US" w:eastAsia="zh-CN" w:bidi="ar"/>
        </w:rPr>
        <w:t>我单位</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无市本级</w:t>
      </w:r>
      <w:r>
        <w:rPr>
          <w:rFonts w:hint="eastAsia" w:ascii="仿宋_GB2312" w:hAnsi="Times New Roman" w:eastAsia="仿宋_GB2312" w:cs="仿宋_GB2312"/>
          <w:i w:val="0"/>
          <w:iCs w:val="0"/>
          <w:caps w:val="0"/>
          <w:color w:val="333333"/>
          <w:spacing w:val="0"/>
          <w:kern w:val="0"/>
          <w:sz w:val="32"/>
          <w:szCs w:val="32"/>
          <w:shd w:val="clear" w:color="auto" w:fill="FFFFFF"/>
          <w:lang w:val="en-US" w:eastAsia="zh-CN" w:bidi="ar"/>
        </w:rPr>
        <w:t>政府性基金预算</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安排</w:t>
      </w:r>
      <w:r>
        <w:rPr>
          <w:rFonts w:hint="eastAsia" w:ascii="仿宋_GB2312" w:hAnsi="微软雅黑" w:cs="仿宋_GB2312"/>
          <w:i w:val="0"/>
          <w:iCs w:val="0"/>
          <w:caps w:val="0"/>
          <w:color w:val="333333"/>
          <w:spacing w:val="0"/>
          <w:kern w:val="0"/>
          <w:sz w:val="32"/>
          <w:szCs w:val="32"/>
          <w:shd w:val="clear" w:color="auto" w:fill="FFFFFF"/>
          <w:lang w:val="en-US" w:eastAsia="zh-CN" w:bidi="ar"/>
        </w:rPr>
        <w:t>及支出</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color="auto" w:fill="FFFFFF"/>
        </w:rPr>
        <w:t>四、</w:t>
      </w:r>
      <w:r>
        <w:rPr>
          <w:rFonts w:hint="eastAsia" w:ascii="黑体" w:hAnsi="宋体" w:eastAsia="黑体" w:cs="黑体"/>
          <w:i w:val="0"/>
          <w:iCs w:val="0"/>
          <w:caps w:val="0"/>
          <w:color w:val="333333"/>
          <w:spacing w:val="0"/>
          <w:sz w:val="32"/>
          <w:szCs w:val="32"/>
          <w:shd w:val="clear" w:color="auto" w:fill="FFFFFF"/>
        </w:rPr>
        <w:t>国有资本经营预算支出情况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2021年度</w:t>
      </w:r>
      <w:r>
        <w:rPr>
          <w:rFonts w:hint="eastAsia" w:ascii="仿宋_GB2312" w:hAnsi="微软雅黑" w:cs="仿宋_GB2312"/>
          <w:i w:val="0"/>
          <w:iCs w:val="0"/>
          <w:caps w:val="0"/>
          <w:color w:val="333333"/>
          <w:spacing w:val="0"/>
          <w:kern w:val="0"/>
          <w:sz w:val="32"/>
          <w:szCs w:val="32"/>
          <w:shd w:val="clear" w:color="auto" w:fill="FFFFFF"/>
          <w:lang w:val="en-US" w:eastAsia="zh-CN" w:bidi="ar"/>
        </w:rPr>
        <w:t>我单位</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无市本级国有资本经营预算安排</w:t>
      </w:r>
      <w:r>
        <w:rPr>
          <w:rFonts w:hint="eastAsia" w:ascii="仿宋_GB2312" w:hAnsi="微软雅黑" w:cs="仿宋_GB2312"/>
          <w:i w:val="0"/>
          <w:iCs w:val="0"/>
          <w:caps w:val="0"/>
          <w:color w:val="333333"/>
          <w:spacing w:val="0"/>
          <w:kern w:val="0"/>
          <w:sz w:val="32"/>
          <w:szCs w:val="32"/>
          <w:shd w:val="clear" w:color="auto" w:fill="FFFFFF"/>
          <w:lang w:val="en-US" w:eastAsia="zh-CN" w:bidi="ar"/>
        </w:rPr>
        <w:t>及支出</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sz w:val="32"/>
          <w:szCs w:val="32"/>
          <w:shd w:val="clear" w:color="auto" w:fill="FFFFFF"/>
        </w:rPr>
        <w:t>五、</w:t>
      </w:r>
      <w:r>
        <w:rPr>
          <w:rFonts w:hint="eastAsia" w:ascii="黑体" w:hAnsi="宋体" w:eastAsia="黑体" w:cs="黑体"/>
          <w:i w:val="0"/>
          <w:iCs w:val="0"/>
          <w:caps w:val="0"/>
          <w:color w:val="333333"/>
          <w:spacing w:val="0"/>
          <w:sz w:val="32"/>
          <w:szCs w:val="32"/>
          <w:shd w:val="clear" w:color="auto" w:fill="FFFFFF"/>
        </w:rPr>
        <w:t>社会保险基金预算支出情况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2021年度</w:t>
      </w:r>
      <w:r>
        <w:rPr>
          <w:rFonts w:hint="eastAsia" w:ascii="仿宋_GB2312" w:hAnsi="微软雅黑" w:cs="仿宋_GB2312"/>
          <w:i w:val="0"/>
          <w:iCs w:val="0"/>
          <w:caps w:val="0"/>
          <w:color w:val="333333"/>
          <w:spacing w:val="0"/>
          <w:kern w:val="0"/>
          <w:sz w:val="32"/>
          <w:szCs w:val="32"/>
          <w:shd w:val="clear" w:color="auto" w:fill="FFFFFF"/>
          <w:lang w:val="en-US" w:eastAsia="zh-CN" w:bidi="ar"/>
        </w:rPr>
        <w:t>我单位</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无市本级社会保险基金预算安排</w:t>
      </w:r>
      <w:r>
        <w:rPr>
          <w:rFonts w:hint="eastAsia" w:ascii="仿宋_GB2312" w:hAnsi="微软雅黑" w:cs="仿宋_GB2312"/>
          <w:i w:val="0"/>
          <w:iCs w:val="0"/>
          <w:caps w:val="0"/>
          <w:color w:val="333333"/>
          <w:spacing w:val="0"/>
          <w:kern w:val="0"/>
          <w:sz w:val="32"/>
          <w:szCs w:val="32"/>
          <w:shd w:val="clear" w:color="auto" w:fill="FFFFFF"/>
          <w:lang w:val="en-US" w:eastAsia="zh-CN" w:bidi="ar"/>
        </w:rPr>
        <w:t>及支出</w:t>
      </w:r>
      <w:r>
        <w:rPr>
          <w:rFonts w:hint="eastAsia" w:ascii="仿宋_GB2312" w:hAnsi="微软雅黑" w:eastAsia="仿宋_GB2312" w:cs="仿宋_GB2312"/>
          <w:i w:val="0"/>
          <w:iCs w:val="0"/>
          <w:caps w:val="0"/>
          <w:color w:val="333333"/>
          <w:spacing w:val="0"/>
          <w:kern w:val="0"/>
          <w:sz w:val="32"/>
          <w:szCs w:val="32"/>
          <w:shd w:val="clear" w:color="auto" w:fill="FFFFFF"/>
          <w:lang w:val="en-US" w:eastAsia="zh-CN" w:bidi="ar"/>
        </w:rPr>
        <w:t>。</w:t>
      </w:r>
    </w:p>
    <w:p>
      <w:pPr>
        <w:widowControl/>
        <w:numPr>
          <w:ilvl w:val="0"/>
          <w:numId w:val="0"/>
        </w:numPr>
        <w:spacing w:line="600" w:lineRule="exact"/>
        <w:ind w:firstLine="640" w:firstLineChars="200"/>
        <w:jc w:val="left"/>
        <w:rPr>
          <w:rFonts w:hint="eastAsia" w:ascii="黑体" w:hAnsi="黑体" w:eastAsia="黑体" w:cs="黑体"/>
          <w:i w:val="0"/>
          <w:iCs w:val="0"/>
          <w:caps w:val="0"/>
          <w:color w:val="333333"/>
          <w:spacing w:val="0"/>
          <w:kern w:val="0"/>
          <w:sz w:val="32"/>
          <w:szCs w:val="32"/>
          <w:shd w:val="clear" w:color="auto" w:fill="FFFFFF"/>
          <w:lang w:val="en-US" w:eastAsia="zh-CN" w:bidi="ar"/>
        </w:rPr>
      </w:pPr>
      <w:r>
        <w:rPr>
          <w:rFonts w:hint="eastAsia" w:ascii="Times New Roman" w:hAnsi="Times New Roman" w:eastAsia="微软雅黑" w:cs="Times New Roman"/>
          <w:i w:val="0"/>
          <w:iCs w:val="0"/>
          <w:caps w:val="0"/>
          <w:color w:val="333333"/>
          <w:spacing w:val="0"/>
          <w:kern w:val="0"/>
          <w:sz w:val="32"/>
          <w:szCs w:val="32"/>
          <w:shd w:val="clear" w:color="auto" w:fill="FFFFFF"/>
          <w:lang w:val="en-US" w:eastAsia="zh-CN" w:bidi="ar"/>
        </w:rPr>
        <w:t>六、</w:t>
      </w:r>
      <w:r>
        <w:rPr>
          <w:rFonts w:hint="eastAsia" w:ascii="黑体" w:hAnsi="黑体" w:eastAsia="黑体" w:cs="黑体"/>
          <w:i w:val="0"/>
          <w:iCs w:val="0"/>
          <w:caps w:val="0"/>
          <w:color w:val="333333"/>
          <w:spacing w:val="0"/>
          <w:kern w:val="0"/>
          <w:sz w:val="32"/>
          <w:szCs w:val="32"/>
          <w:shd w:val="clear" w:color="auto" w:fill="FFFFFF"/>
          <w:lang w:val="en-US" w:eastAsia="zh-CN" w:bidi="ar"/>
        </w:rPr>
        <w:t>部门整体支出绩效情况</w:t>
      </w:r>
    </w:p>
    <w:p>
      <w:pPr>
        <w:keepNext w:val="0"/>
        <w:keepLines w:val="0"/>
        <w:widowControl/>
        <w:suppressLineNumbers w:val="0"/>
        <w:ind w:firstLine="640" w:firstLineChars="200"/>
        <w:jc w:val="left"/>
        <w:rPr>
          <w:rFonts w:hint="eastAsia" w:ascii="仿宋_GB2312" w:hAnsi="宋体" w:cs="仿宋_GB2312"/>
          <w:color w:val="000000"/>
          <w:kern w:val="0"/>
          <w:sz w:val="31"/>
          <w:szCs w:val="31"/>
          <w:lang w:val="en-US" w:eastAsia="zh-CN" w:bidi="ar"/>
        </w:rPr>
      </w:pPr>
      <w:r>
        <w:rPr>
          <w:rFonts w:ascii="Times New Roman" w:hAnsi="Times New Roman" w:eastAsia="仿宋_GB2312"/>
          <w:sz w:val="32"/>
          <w:szCs w:val="32"/>
          <w:u w:val="none"/>
        </w:rPr>
        <w:t>2021年，</w:t>
      </w:r>
      <w:r>
        <w:rPr>
          <w:rFonts w:hint="eastAsia"/>
          <w:sz w:val="32"/>
          <w:szCs w:val="32"/>
          <w:u w:val="none"/>
          <w:lang w:val="en-US" w:eastAsia="zh-CN"/>
        </w:rPr>
        <w:t>我单位</w:t>
      </w:r>
      <w:r>
        <w:rPr>
          <w:rFonts w:ascii="Times New Roman" w:hAnsi="Times New Roman" w:eastAsia="仿宋_GB2312"/>
          <w:sz w:val="32"/>
          <w:szCs w:val="32"/>
          <w:u w:val="none"/>
        </w:rPr>
        <w:t>在市委、市政府的坚强领导下，深入贯彻习近平总书记关于湖南工作系列讲话和对市场监管工作的指示精神，</w:t>
      </w:r>
      <w:r>
        <w:rPr>
          <w:rFonts w:hint="eastAsia" w:ascii="Times New Roman" w:hAnsi="Times New Roman" w:eastAsia="仿宋_GB2312"/>
          <w:sz w:val="32"/>
          <w:szCs w:val="32"/>
          <w:u w:val="none"/>
        </w:rPr>
        <w:t>深入实施“三高四新”战略，</w:t>
      </w:r>
      <w:r>
        <w:rPr>
          <w:rFonts w:ascii="Times New Roman" w:hAnsi="Times New Roman" w:eastAsia="仿宋_GB2312"/>
          <w:sz w:val="32"/>
          <w:szCs w:val="32"/>
          <w:u w:val="none"/>
        </w:rPr>
        <w:t>围绕“破瓶颈、抓产业、优结构、强队伍”的工作要求，大力践行“向市场要活力，让监管出效益”，为全市经济社会发展做出了应有贡献</w:t>
      </w:r>
      <w:r>
        <w:rPr>
          <w:rFonts w:hint="eastAsia"/>
          <w:sz w:val="32"/>
          <w:szCs w:val="32"/>
          <w:u w:val="none"/>
          <w:lang w:eastAsia="zh-CN"/>
        </w:rPr>
        <w:t>，</w:t>
      </w:r>
      <w:r>
        <w:rPr>
          <w:rFonts w:ascii="仿宋_GB2312" w:hAnsi="宋体" w:eastAsia="仿宋_GB2312" w:cs="仿宋_GB2312"/>
          <w:color w:val="000000"/>
          <w:kern w:val="0"/>
          <w:sz w:val="31"/>
          <w:szCs w:val="31"/>
          <w:lang w:val="en-US" w:eastAsia="zh-CN" w:bidi="ar"/>
        </w:rPr>
        <w:t>各项工作取得新成效、再上新台阶</w:t>
      </w:r>
      <w:r>
        <w:rPr>
          <w:rFonts w:hint="eastAsia" w:ascii="仿宋_GB2312" w:hAnsi="宋体" w:cs="仿宋_GB2312"/>
          <w:color w:val="000000"/>
          <w:kern w:val="0"/>
          <w:sz w:val="31"/>
          <w:szCs w:val="31"/>
          <w:lang w:val="en-US" w:eastAsia="zh-CN" w:bidi="ar"/>
        </w:rPr>
        <w:t>。2021年度我单位</w:t>
      </w:r>
      <w:r>
        <w:rPr>
          <w:rFonts w:ascii="仿宋_GB2312" w:hAnsi="宋体" w:eastAsia="仿宋_GB2312" w:cs="仿宋_GB2312"/>
          <w:color w:val="000000"/>
          <w:kern w:val="0"/>
          <w:sz w:val="31"/>
          <w:szCs w:val="31"/>
          <w:lang w:val="en-US" w:eastAsia="zh-CN" w:bidi="ar"/>
        </w:rPr>
        <w:t>荣获</w:t>
      </w:r>
      <w:r>
        <w:rPr>
          <w:rFonts w:hint="eastAsia" w:ascii="仿宋_GB2312" w:hAnsi="宋体" w:cs="仿宋_GB2312"/>
          <w:color w:val="000000"/>
          <w:kern w:val="0"/>
          <w:sz w:val="31"/>
          <w:szCs w:val="31"/>
          <w:lang w:val="en-US" w:eastAsia="zh-CN" w:bidi="ar"/>
        </w:rPr>
        <w:t>人力资源社会保障部办公厅、公安部办公厅、市场监督管理总局办公厅联合授予“2021年全国清理整顿人力资源市场秩序专项行取得突出成绩单位”、市市场监督管理总局授予“‘小个专’党建表现突出集体”、人力资源社会保障部、国家知识产权局联合授予“全国知识产权系统先进单位”、中国个体劳动者协会授予“2021年度调查突出贡献单位”、中国消费者协会授予“2020-2021年度消费维权先进集体”、湖南省人民政府办公厅授予“2021年度湖南省真抓实干督查激励”、湖南省食品安全委员会授予“2021年食品安全工作A级（先进）单位”等国家级、省级荣誉16项。单位出色</w:t>
      </w:r>
      <w:r>
        <w:rPr>
          <w:rFonts w:ascii="仿宋_GB2312" w:hAnsi="宋体" w:eastAsia="仿宋_GB2312" w:cs="仿宋_GB2312"/>
          <w:color w:val="000000"/>
          <w:kern w:val="0"/>
          <w:sz w:val="31"/>
          <w:szCs w:val="31"/>
          <w:lang w:val="en-US" w:eastAsia="zh-CN" w:bidi="ar"/>
        </w:rPr>
        <w:t>履行职责和</w:t>
      </w:r>
      <w:r>
        <w:rPr>
          <w:rFonts w:hint="eastAsia" w:ascii="仿宋_GB2312" w:hAnsi="宋体" w:eastAsia="仿宋_GB2312" w:cs="仿宋_GB2312"/>
          <w:color w:val="000000"/>
          <w:kern w:val="0"/>
          <w:sz w:val="31"/>
          <w:szCs w:val="31"/>
          <w:lang w:val="en-US" w:eastAsia="zh-CN" w:bidi="ar"/>
        </w:rPr>
        <w:t>完成各项重点工作任务，全面实现了部门预算绩效目标</w:t>
      </w:r>
      <w:r>
        <w:rPr>
          <w:rFonts w:hint="eastAsia" w:ascii="仿宋_GB2312" w:hAnsi="宋体" w:cs="仿宋_GB2312"/>
          <w:color w:val="000000"/>
          <w:kern w:val="0"/>
          <w:sz w:val="31"/>
          <w:szCs w:val="31"/>
          <w:lang w:val="en-US" w:eastAsia="zh-CN" w:bidi="ar"/>
        </w:rPr>
        <w:t>。</w:t>
      </w:r>
    </w:p>
    <w:p>
      <w:pPr>
        <w:pStyle w:val="14"/>
        <w:spacing w:line="560" w:lineRule="exact"/>
        <w:ind w:firstLine="640"/>
        <w:rPr>
          <w:rFonts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一</w:t>
      </w:r>
      <w:r>
        <w:rPr>
          <w:rFonts w:hint="eastAsia" w:ascii="楷体" w:hAnsi="楷体" w:eastAsia="楷体" w:cs="楷体"/>
          <w:sz w:val="32"/>
          <w:szCs w:val="32"/>
          <w:u w:val="none"/>
        </w:rPr>
        <w:t>）聚焦市场安全，增强群众权益防护力。</w:t>
      </w:r>
      <w:r>
        <w:rPr>
          <w:rFonts w:eastAsia="仿宋_GB2312"/>
          <w:b/>
          <w:bCs/>
          <w:sz w:val="32"/>
          <w:szCs w:val="32"/>
          <w:u w:val="none"/>
        </w:rPr>
        <w:t>食品安全方面。</w:t>
      </w:r>
      <w:r>
        <w:rPr>
          <w:rFonts w:eastAsia="仿宋_GB2312"/>
          <w:sz w:val="32"/>
          <w:szCs w:val="32"/>
          <w:u w:val="none"/>
        </w:rPr>
        <w:t>深入推进食品安全示范</w:t>
      </w:r>
      <w:r>
        <w:rPr>
          <w:rFonts w:hint="eastAsia"/>
          <w:sz w:val="32"/>
          <w:szCs w:val="32"/>
          <w:u w:val="none"/>
          <w:lang w:eastAsia="zh-CN"/>
        </w:rPr>
        <w:t>城市</w:t>
      </w:r>
      <w:r>
        <w:rPr>
          <w:rFonts w:eastAsia="仿宋_GB2312"/>
          <w:sz w:val="32"/>
          <w:szCs w:val="32"/>
          <w:u w:val="none"/>
        </w:rPr>
        <w:t>创建工作，大力推动食品安全工作“四纳入”、“四写进”工作落实。全面推进“十二大攻坚行动”</w:t>
      </w:r>
      <w:r>
        <w:rPr>
          <w:rFonts w:hint="eastAsia" w:eastAsia="仿宋_GB2312"/>
          <w:sz w:val="32"/>
          <w:szCs w:val="32"/>
          <w:u w:val="none"/>
        </w:rPr>
        <w:t>。全省创建食品安全示范县现场会在我市召开，在全省食安委扩大会议上我市作为唯一市州介绍了经验，省委省政府领导对我市“5+N+X”的做法给与了充分肯定与表扬。</w:t>
      </w:r>
      <w:r>
        <w:rPr>
          <w:rFonts w:eastAsia="仿宋_GB2312"/>
          <w:sz w:val="32"/>
          <w:szCs w:val="32"/>
          <w:u w:val="none"/>
        </w:rPr>
        <w:t>积极开展大米质量安全监管、食品安全“护老”行动暨保健食品行业清理整治及流通环节食品安全风险排查，实施校园食品安全“护苗”行动、餐饮业质量安全提升行动及实施网络食品安全“网剑”行动。</w:t>
      </w:r>
      <w:r>
        <w:rPr>
          <w:rFonts w:eastAsia="仿宋_GB2312"/>
          <w:b/>
          <w:bCs/>
          <w:sz w:val="32"/>
          <w:szCs w:val="32"/>
          <w:u w:val="none"/>
        </w:rPr>
        <w:t>药品安全方面。</w:t>
      </w:r>
      <w:r>
        <w:rPr>
          <w:rFonts w:eastAsia="仿宋_GB2312"/>
          <w:sz w:val="32"/>
          <w:szCs w:val="32"/>
          <w:u w:val="none"/>
        </w:rPr>
        <w:t>重点开展集采药品降价后降质问题集中整治行动、农村药品专项整治、中药饮片专项整治、药品零售企业飞行检查、药品类易制毒化学品专项检查、医疗器械及化妆品专项整治，保障了广大人民群众用药安全。</w:t>
      </w:r>
      <w:r>
        <w:rPr>
          <w:rFonts w:eastAsia="仿宋_GB2312"/>
          <w:b/>
          <w:bCs/>
          <w:sz w:val="32"/>
          <w:szCs w:val="32"/>
          <w:u w:val="none"/>
        </w:rPr>
        <w:t>产商品安全方面。</w:t>
      </w:r>
      <w:r>
        <w:rPr>
          <w:rFonts w:eastAsia="仿宋_GB2312"/>
          <w:sz w:val="32"/>
          <w:szCs w:val="32"/>
          <w:u w:val="none"/>
        </w:rPr>
        <w:t>重点对农资、成品油、烟花爆竹、食品相关产品、建筑装饰装修材料、燃气、防火器材、儿童学生老人用品等11个大类产品实施专项整治和风险监测。</w:t>
      </w:r>
      <w:r>
        <w:rPr>
          <w:rFonts w:eastAsia="仿宋_GB2312"/>
          <w:b/>
          <w:bCs/>
          <w:sz w:val="32"/>
          <w:szCs w:val="32"/>
          <w:u w:val="none"/>
        </w:rPr>
        <w:t>特种设备安全方面。</w:t>
      </w:r>
      <w:r>
        <w:rPr>
          <w:rFonts w:eastAsia="仿宋_GB2312"/>
          <w:sz w:val="32"/>
          <w:szCs w:val="32"/>
          <w:u w:val="none"/>
        </w:rPr>
        <w:t>对液化石油气瓶安全、重点工程工地特种设备、大型游乐设施、燃气、车用气瓶、梯鼓式制动器大力开展专项整治，全面推行“四个一”管理，压实特种设备使用单位安全主体责任。全市没有发生重大食品、药品、产商品和特种设备安全事故。</w:t>
      </w:r>
      <w:r>
        <w:rPr>
          <w:rFonts w:eastAsia="仿宋_GB2312"/>
          <w:b/>
          <w:bCs/>
          <w:sz w:val="32"/>
          <w:szCs w:val="32"/>
          <w:u w:val="none"/>
        </w:rPr>
        <w:t>消费维权方面。</w:t>
      </w:r>
      <w:r>
        <w:rPr>
          <w:rFonts w:eastAsia="仿宋_GB2312"/>
          <w:sz w:val="32"/>
          <w:szCs w:val="32"/>
          <w:u w:val="none"/>
        </w:rPr>
        <w:t>每月发布消费预警，同时将示范引领机制与曝光机制相结合，对劝谕、约谈、评议后拒不整改或整改不到位的企业通过媒体平台进行公开曝光。抓好全市12315效能建设，全市投诉按时初查率为99.92%、投诉按时办结率为99.99%、举报按时核查率为100%，ODR单位新增55家达到103家，全市12315效能建设目前处于全省第三。截至</w:t>
      </w:r>
      <w:r>
        <w:rPr>
          <w:rFonts w:hint="eastAsia"/>
          <w:sz w:val="32"/>
          <w:szCs w:val="32"/>
          <w:u w:val="none"/>
          <w:lang w:val="en-US" w:eastAsia="zh-CN"/>
        </w:rPr>
        <w:t>2021年底</w:t>
      </w:r>
      <w:r>
        <w:rPr>
          <w:rFonts w:eastAsia="仿宋_GB2312"/>
          <w:sz w:val="32"/>
          <w:szCs w:val="32"/>
          <w:u w:val="none"/>
        </w:rPr>
        <w:t>，共接到消费者投诉举报35517件，办结率为97.36%，为消费者挽回经济损失754.37万元。</w:t>
      </w:r>
    </w:p>
    <w:p>
      <w:pPr>
        <w:pStyle w:val="14"/>
        <w:spacing w:line="560" w:lineRule="exact"/>
        <w:ind w:firstLine="640"/>
        <w:rPr>
          <w:rFonts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二</w:t>
      </w:r>
      <w:r>
        <w:rPr>
          <w:rFonts w:hint="eastAsia" w:ascii="楷体" w:hAnsi="楷体" w:eastAsia="楷体" w:cs="楷体"/>
          <w:sz w:val="32"/>
          <w:szCs w:val="32"/>
          <w:u w:val="none"/>
        </w:rPr>
        <w:t>）聚焦深化改革，激发市场主体生命力。</w:t>
      </w:r>
      <w:r>
        <w:rPr>
          <w:rFonts w:eastAsia="仿宋_GB2312"/>
          <w:b/>
          <w:bCs/>
          <w:sz w:val="32"/>
          <w:szCs w:val="32"/>
          <w:u w:val="none"/>
        </w:rPr>
        <w:t>开展市场主体培育行动。</w:t>
      </w:r>
      <w:r>
        <w:rPr>
          <w:rFonts w:eastAsia="仿宋_GB2312"/>
          <w:sz w:val="32"/>
          <w:szCs w:val="32"/>
          <w:u w:val="none"/>
        </w:rPr>
        <w:t>成立常德市市场主体培育行动指挥部</w:t>
      </w:r>
      <w:r>
        <w:rPr>
          <w:rFonts w:hint="eastAsia"/>
          <w:sz w:val="32"/>
          <w:szCs w:val="32"/>
          <w:u w:val="none"/>
          <w:lang w:eastAsia="zh-CN"/>
        </w:rPr>
        <w:t>，</w:t>
      </w:r>
      <w:r>
        <w:rPr>
          <w:rFonts w:eastAsia="仿宋_GB2312"/>
          <w:sz w:val="32"/>
          <w:szCs w:val="32"/>
          <w:u w:val="none"/>
        </w:rPr>
        <w:t>制定《常德市市场主体培育行动实施方案（2021-2025年）》（草案）；出台《常德市关于支持小微企业和个体工商户稳定健康发展若干措施》。</w:t>
      </w:r>
      <w:r>
        <w:rPr>
          <w:rFonts w:hint="eastAsia"/>
          <w:sz w:val="32"/>
          <w:szCs w:val="32"/>
          <w:u w:val="none"/>
          <w:lang w:val="en-US" w:eastAsia="zh-CN"/>
        </w:rPr>
        <w:t>2021年度</w:t>
      </w:r>
      <w:r>
        <w:rPr>
          <w:rFonts w:eastAsia="仿宋_GB2312"/>
          <w:sz w:val="32"/>
          <w:szCs w:val="32"/>
          <w:u w:val="none"/>
        </w:rPr>
        <w:t>全市市场主体总量达到3</w:t>
      </w:r>
      <w:r>
        <w:rPr>
          <w:rFonts w:hint="eastAsia"/>
          <w:sz w:val="32"/>
          <w:szCs w:val="32"/>
          <w:u w:val="none"/>
          <w:lang w:val="en-US" w:eastAsia="zh-CN"/>
        </w:rPr>
        <w:t>8</w:t>
      </w:r>
      <w:r>
        <w:rPr>
          <w:rFonts w:eastAsia="仿宋_GB2312"/>
          <w:sz w:val="32"/>
          <w:szCs w:val="32"/>
          <w:u w:val="none"/>
        </w:rPr>
        <w:t>.47万户。</w:t>
      </w:r>
      <w:r>
        <w:rPr>
          <w:rFonts w:eastAsia="仿宋_GB2312"/>
          <w:b/>
          <w:bCs/>
          <w:sz w:val="32"/>
          <w:szCs w:val="32"/>
          <w:u w:val="none"/>
        </w:rPr>
        <w:t>开展放权赋权简化审批。</w:t>
      </w:r>
      <w:r>
        <w:rPr>
          <w:rFonts w:eastAsia="仿宋_GB2312"/>
          <w:sz w:val="32"/>
          <w:szCs w:val="32"/>
          <w:u w:val="none"/>
        </w:rPr>
        <w:t>将涉企准入和经营许可事项分批次赋予园区行使，实现“园区事园区办”；推进政务服务向乡镇（街道）和村（社区）延伸，全面优化服务流程，逐步实现“就近能办、一次办好”。</w:t>
      </w:r>
      <w:r>
        <w:rPr>
          <w:rFonts w:eastAsia="仿宋_GB2312"/>
          <w:b/>
          <w:bCs/>
          <w:sz w:val="32"/>
          <w:szCs w:val="32"/>
          <w:u w:val="none"/>
        </w:rPr>
        <w:t>持续推进企业开办“一网通办”。</w:t>
      </w:r>
      <w:r>
        <w:rPr>
          <w:rFonts w:eastAsia="仿宋_GB2312"/>
          <w:sz w:val="32"/>
          <w:szCs w:val="32"/>
          <w:u w:val="none"/>
        </w:rPr>
        <w:t>在市场主体全生命周期推行“4140”改革</w:t>
      </w:r>
      <w:r>
        <w:rPr>
          <w:rFonts w:hint="eastAsia" w:eastAsia="仿宋_GB2312"/>
          <w:sz w:val="32"/>
          <w:szCs w:val="32"/>
          <w:u w:val="none"/>
        </w:rPr>
        <w:t>（开办“四个一”即线上“一网通办”、线下“一窗通办”、材料“一次提交”、全流程“一日办结”和服务“四个零”即审批“零见面”、许可“零收费”、服务“零距离”、办件“零延迟”）</w:t>
      </w:r>
      <w:r>
        <w:rPr>
          <w:rFonts w:eastAsia="仿宋_GB2312"/>
          <w:sz w:val="32"/>
          <w:szCs w:val="32"/>
          <w:u w:val="none"/>
        </w:rPr>
        <w:t>，为企业提供咨询服务、帮办代办、容缺受理等线上线下全程跟踪服务，同时政府免费为新开办企业免费赠送首套印章和税控设备。今年以来，共有2830户市场主体通过“容缺受理”快速准入。</w:t>
      </w:r>
      <w:r>
        <w:rPr>
          <w:rFonts w:eastAsia="仿宋_GB2312"/>
          <w:b/>
          <w:bCs/>
          <w:sz w:val="32"/>
          <w:szCs w:val="32"/>
          <w:u w:val="none"/>
        </w:rPr>
        <w:t>深化“证照分离”改革。</w:t>
      </w:r>
      <w:r>
        <w:rPr>
          <w:rFonts w:eastAsia="仿宋_GB2312"/>
          <w:sz w:val="32"/>
          <w:szCs w:val="32"/>
          <w:u w:val="none"/>
        </w:rPr>
        <w:t>全面推开“证照分离”全覆盖，持续推进“照后减证”和简化审批，加大告知承诺制改革力度。在食品经营许可改革上，我市探索出了“证照联办强服务、网格监管强治理、数据运用强效能、共享小店强活力、星级评选强责任、产业发展强品质”的“六强”工作新路径</w:t>
      </w:r>
      <w:r>
        <w:rPr>
          <w:rFonts w:hint="eastAsia" w:eastAsia="仿宋_GB2312"/>
          <w:sz w:val="32"/>
          <w:szCs w:val="32"/>
          <w:u w:val="none"/>
        </w:rPr>
        <w:t>。</w:t>
      </w:r>
      <w:r>
        <w:rPr>
          <w:rFonts w:hint="eastAsia"/>
          <w:sz w:val="32"/>
          <w:szCs w:val="32"/>
          <w:u w:val="none"/>
          <w:lang w:val="en-US" w:eastAsia="zh-CN"/>
        </w:rPr>
        <w:t>2021年</w:t>
      </w:r>
      <w:r>
        <w:rPr>
          <w:rFonts w:eastAsia="仿宋_GB2312"/>
          <w:sz w:val="32"/>
          <w:szCs w:val="32"/>
          <w:u w:val="none"/>
        </w:rPr>
        <w:t>9月28日至29日，全国食品经营许可改革工作会在</w:t>
      </w:r>
      <w:r>
        <w:rPr>
          <w:rFonts w:hint="eastAsia" w:eastAsia="仿宋_GB2312"/>
          <w:sz w:val="32"/>
          <w:szCs w:val="32"/>
          <w:u w:val="none"/>
        </w:rPr>
        <w:t>我市</w:t>
      </w:r>
      <w:r>
        <w:rPr>
          <w:rFonts w:eastAsia="仿宋_GB2312"/>
          <w:sz w:val="32"/>
          <w:szCs w:val="32"/>
          <w:u w:val="none"/>
        </w:rPr>
        <w:t>召开。创新和探索医疗器械审评审批备案工作“放管服”的实施措施，2021年在第一类医疗器械生产备案和第二、三类医疗器械经营许可换证、延续方面探索实施“承诺制”。全市共有79户市场主体通过告知承诺快速准入开展经营。</w:t>
      </w:r>
    </w:p>
    <w:p>
      <w:pPr>
        <w:pStyle w:val="14"/>
        <w:spacing w:line="560" w:lineRule="exact"/>
        <w:ind w:firstLine="640"/>
        <w:rPr>
          <w:rFonts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三</w:t>
      </w:r>
      <w:r>
        <w:rPr>
          <w:rFonts w:hint="eastAsia" w:ascii="楷体" w:hAnsi="楷体" w:eastAsia="楷体" w:cs="楷体"/>
          <w:sz w:val="32"/>
          <w:szCs w:val="32"/>
          <w:u w:val="none"/>
        </w:rPr>
        <w:t>）聚焦知识产权，提升市场主体竞争力。</w:t>
      </w:r>
      <w:r>
        <w:rPr>
          <w:rFonts w:eastAsia="仿宋_GB2312"/>
          <w:b/>
          <w:bCs/>
          <w:sz w:val="32"/>
          <w:szCs w:val="32"/>
          <w:u w:val="none"/>
        </w:rPr>
        <w:t>实现了多个“增长”。</w:t>
      </w:r>
      <w:r>
        <w:rPr>
          <w:rFonts w:eastAsia="仿宋_GB2312"/>
          <w:sz w:val="32"/>
          <w:szCs w:val="32"/>
          <w:u w:val="none"/>
        </w:rPr>
        <w:t>即每万人有效发明专利拥有量4.76件，发明专利授权</w:t>
      </w:r>
      <w:r>
        <w:rPr>
          <w:rFonts w:hint="eastAsia"/>
          <w:sz w:val="32"/>
          <w:szCs w:val="32"/>
          <w:u w:val="none"/>
          <w:lang w:val="en-US" w:eastAsia="zh-CN"/>
        </w:rPr>
        <w:t>787</w:t>
      </w:r>
      <w:r>
        <w:rPr>
          <w:rFonts w:eastAsia="仿宋_GB2312"/>
          <w:sz w:val="32"/>
          <w:szCs w:val="32"/>
          <w:u w:val="none"/>
        </w:rPr>
        <w:t>件，发明专利拥有量2514件，PCT申请达到</w:t>
      </w:r>
      <w:r>
        <w:rPr>
          <w:rFonts w:hint="eastAsia"/>
          <w:sz w:val="32"/>
          <w:szCs w:val="32"/>
          <w:u w:val="none"/>
          <w:lang w:val="en-US" w:eastAsia="zh-CN"/>
        </w:rPr>
        <w:t>56</w:t>
      </w:r>
      <w:r>
        <w:rPr>
          <w:rFonts w:eastAsia="仿宋_GB2312"/>
          <w:sz w:val="32"/>
          <w:szCs w:val="32"/>
          <w:u w:val="none"/>
        </w:rPr>
        <w:t>件，</w:t>
      </w:r>
      <w:r>
        <w:rPr>
          <w:rFonts w:hint="eastAsia"/>
          <w:sz w:val="32"/>
          <w:szCs w:val="32"/>
          <w:u w:val="none"/>
          <w:lang w:val="en-US" w:eastAsia="zh-CN"/>
        </w:rPr>
        <w:t>我单位荣获</w:t>
      </w:r>
      <w:r>
        <w:rPr>
          <w:rFonts w:eastAsia="仿宋_GB2312"/>
          <w:sz w:val="32"/>
          <w:szCs w:val="32"/>
          <w:u w:val="none"/>
        </w:rPr>
        <w:t>“全国知识产权工作先进集体”。</w:t>
      </w:r>
      <w:r>
        <w:rPr>
          <w:rFonts w:eastAsia="仿宋_GB2312"/>
          <w:b/>
          <w:bCs/>
          <w:sz w:val="32"/>
          <w:szCs w:val="32"/>
          <w:u w:val="none"/>
        </w:rPr>
        <w:t>知识产权综合运用成效明显。</w:t>
      </w:r>
      <w:r>
        <w:rPr>
          <w:rFonts w:eastAsia="仿宋_GB2312"/>
          <w:sz w:val="32"/>
          <w:szCs w:val="32"/>
          <w:u w:val="none"/>
        </w:rPr>
        <w:t>引导建立规范、有序的知识产权管理体系，发动</w:t>
      </w:r>
      <w:r>
        <w:rPr>
          <w:rFonts w:hint="eastAsia"/>
          <w:sz w:val="32"/>
          <w:szCs w:val="32"/>
          <w:u w:val="none"/>
          <w:lang w:val="en-US" w:eastAsia="zh-CN"/>
        </w:rPr>
        <w:t>18</w:t>
      </w:r>
      <w:r>
        <w:rPr>
          <w:rFonts w:eastAsia="仿宋_GB2312"/>
          <w:sz w:val="32"/>
          <w:szCs w:val="32"/>
          <w:u w:val="none"/>
        </w:rPr>
        <w:t>家企业完成知识产权贯标。6个知识产权密集型培育项目、4个地理标志培育项目获得100万元省知识产权战略推进专项资金支持。</w:t>
      </w:r>
      <w:r>
        <w:rPr>
          <w:rFonts w:eastAsia="仿宋_GB2312"/>
          <w:b/>
          <w:bCs/>
          <w:sz w:val="32"/>
          <w:szCs w:val="32"/>
          <w:u w:val="none"/>
        </w:rPr>
        <w:t>地理标志专用标志换标工作制度化。</w:t>
      </w:r>
      <w:r>
        <w:rPr>
          <w:rFonts w:eastAsia="仿宋_GB2312"/>
          <w:sz w:val="32"/>
          <w:szCs w:val="32"/>
          <w:u w:val="none"/>
        </w:rPr>
        <w:t>通过专业培训、分类指导等大量扎实的前期工作，实现了地理标志专用标志使用企业数量和增长率“双破百”</w:t>
      </w:r>
      <w:r>
        <w:rPr>
          <w:rFonts w:hint="eastAsia" w:eastAsia="仿宋_GB2312"/>
          <w:sz w:val="32"/>
          <w:szCs w:val="32"/>
          <w:u w:val="none"/>
        </w:rPr>
        <w:t>，</w:t>
      </w:r>
      <w:r>
        <w:rPr>
          <w:rFonts w:eastAsia="仿宋_GB2312"/>
          <w:sz w:val="32"/>
          <w:szCs w:val="32"/>
          <w:u w:val="none"/>
        </w:rPr>
        <w:t>使用企业增加至104家，使用率与去年相比增长126%。</w:t>
      </w:r>
      <w:r>
        <w:rPr>
          <w:rFonts w:eastAsia="仿宋_GB2312"/>
          <w:b/>
          <w:bCs/>
          <w:sz w:val="32"/>
          <w:szCs w:val="32"/>
          <w:u w:val="none"/>
        </w:rPr>
        <w:t>地理标志培育意识增强。</w:t>
      </w:r>
      <w:r>
        <w:rPr>
          <w:rFonts w:eastAsia="仿宋_GB2312"/>
          <w:sz w:val="32"/>
          <w:szCs w:val="32"/>
          <w:u w:val="none"/>
        </w:rPr>
        <w:t>成功申报</w:t>
      </w:r>
      <w:r>
        <w:rPr>
          <w:rFonts w:hint="eastAsia" w:eastAsia="仿宋_GB2312"/>
          <w:sz w:val="32"/>
          <w:szCs w:val="32"/>
          <w:u w:val="none"/>
        </w:rPr>
        <w:t>“常德米粉”</w:t>
      </w:r>
      <w:r>
        <w:rPr>
          <w:rFonts w:eastAsia="仿宋_GB2312"/>
          <w:sz w:val="32"/>
          <w:szCs w:val="32"/>
          <w:u w:val="none"/>
        </w:rPr>
        <w:t>“常德柳叶鲫”和“津市藠果”</w:t>
      </w:r>
      <w:r>
        <w:rPr>
          <w:rFonts w:hint="eastAsia" w:eastAsia="仿宋_GB2312"/>
          <w:sz w:val="32"/>
          <w:szCs w:val="32"/>
          <w:u w:val="none"/>
        </w:rPr>
        <w:t>3</w:t>
      </w:r>
      <w:r>
        <w:rPr>
          <w:rFonts w:eastAsia="仿宋_GB2312"/>
          <w:sz w:val="32"/>
          <w:szCs w:val="32"/>
          <w:u w:val="none"/>
        </w:rPr>
        <w:t>件地理标志证明商标；还有“澧县红薯粉丝”等8件地标商标正在申报中。“石门柑橘”纳入对俄地理标志保护意向清单。</w:t>
      </w:r>
      <w:r>
        <w:rPr>
          <w:rFonts w:eastAsia="仿宋_GB2312"/>
          <w:b/>
          <w:bCs/>
          <w:sz w:val="32"/>
          <w:szCs w:val="32"/>
          <w:u w:val="none"/>
        </w:rPr>
        <w:t>知识产权质押融资精准推动。</w:t>
      </w:r>
      <w:r>
        <w:rPr>
          <w:rFonts w:eastAsia="仿宋_GB2312"/>
          <w:sz w:val="32"/>
          <w:szCs w:val="32"/>
          <w:u w:val="none"/>
        </w:rPr>
        <w:t>支持企业开展知识产权质押融资，建立质押融资银企对接台账，为企业搭建知识产权质押融资“绿色通道”，实现商标质押融资“零”突破。截至</w:t>
      </w:r>
      <w:r>
        <w:rPr>
          <w:rFonts w:hint="eastAsia"/>
          <w:sz w:val="32"/>
          <w:szCs w:val="32"/>
          <w:u w:val="none"/>
          <w:lang w:val="en-US" w:eastAsia="zh-CN"/>
        </w:rPr>
        <w:t>2021年底</w:t>
      </w:r>
      <w:r>
        <w:rPr>
          <w:rFonts w:eastAsia="仿宋_GB2312"/>
          <w:sz w:val="32"/>
          <w:szCs w:val="32"/>
          <w:u w:val="none"/>
        </w:rPr>
        <w:t>我市完成3</w:t>
      </w:r>
      <w:r>
        <w:rPr>
          <w:rFonts w:hint="eastAsia"/>
          <w:sz w:val="32"/>
          <w:szCs w:val="32"/>
          <w:u w:val="none"/>
          <w:lang w:val="en-US" w:eastAsia="zh-CN"/>
        </w:rPr>
        <w:t>0</w:t>
      </w:r>
      <w:r>
        <w:rPr>
          <w:rFonts w:eastAsia="仿宋_GB2312"/>
          <w:sz w:val="32"/>
          <w:szCs w:val="32"/>
          <w:u w:val="none"/>
        </w:rPr>
        <w:t>笔知识产权质押融资，融资额达2.28亿元。</w:t>
      </w:r>
    </w:p>
    <w:p>
      <w:pPr>
        <w:spacing w:line="560" w:lineRule="exact"/>
        <w:ind w:firstLine="640" w:firstLineChars="200"/>
        <w:rPr>
          <w:rFonts w:ascii="Times New Roman" w:hAnsi="Times New Roman"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四</w:t>
      </w:r>
      <w:r>
        <w:rPr>
          <w:rFonts w:hint="eastAsia" w:ascii="楷体" w:hAnsi="楷体" w:eastAsia="楷体" w:cs="楷体"/>
          <w:sz w:val="32"/>
          <w:szCs w:val="32"/>
          <w:u w:val="none"/>
        </w:rPr>
        <w:t>）聚焦产业发展，提振实体经济原动力。</w:t>
      </w:r>
      <w:r>
        <w:rPr>
          <w:rFonts w:ascii="Times New Roman" w:hAnsi="Times New Roman" w:eastAsia="仿宋_GB2312"/>
          <w:b/>
          <w:bCs/>
          <w:sz w:val="32"/>
          <w:szCs w:val="32"/>
          <w:u w:val="none"/>
        </w:rPr>
        <w:t>牵头生物医药产业发展。</w:t>
      </w:r>
      <w:r>
        <w:rPr>
          <w:rFonts w:ascii="Times New Roman" w:hAnsi="Times New Roman" w:eastAsia="仿宋_GB2312"/>
          <w:sz w:val="32"/>
          <w:szCs w:val="32"/>
          <w:u w:val="none"/>
        </w:rPr>
        <w:t>出台支持生物医药高质量发展十条政策措施，积极促成市政府与省药监局开展全面合作。新引进生物医药企业8家，总投资约16亿元。</w:t>
      </w:r>
      <w:r>
        <w:rPr>
          <w:rFonts w:hint="eastAsia"/>
          <w:sz w:val="32"/>
          <w:szCs w:val="32"/>
          <w:u w:val="none"/>
          <w:lang w:val="en-US" w:eastAsia="zh-CN"/>
        </w:rPr>
        <w:t>2021</w:t>
      </w:r>
      <w:r>
        <w:rPr>
          <w:rFonts w:ascii="Times New Roman" w:hAnsi="Times New Roman" w:eastAsia="仿宋_GB2312"/>
          <w:sz w:val="32"/>
          <w:szCs w:val="32"/>
          <w:u w:val="none"/>
        </w:rPr>
        <w:t>全市生物医药完成产值约</w:t>
      </w:r>
      <w:r>
        <w:rPr>
          <w:rFonts w:hint="eastAsia"/>
          <w:sz w:val="32"/>
          <w:szCs w:val="32"/>
          <w:u w:val="none"/>
          <w:lang w:val="en-US" w:eastAsia="zh-CN"/>
        </w:rPr>
        <w:t>260</w:t>
      </w:r>
      <w:r>
        <w:rPr>
          <w:rFonts w:ascii="Times New Roman" w:hAnsi="Times New Roman" w:eastAsia="仿宋_GB2312"/>
          <w:sz w:val="32"/>
          <w:szCs w:val="32"/>
          <w:u w:val="none"/>
        </w:rPr>
        <w:t>亿元、税</w:t>
      </w:r>
      <w:r>
        <w:rPr>
          <w:rFonts w:hint="eastAsia"/>
          <w:sz w:val="32"/>
          <w:szCs w:val="32"/>
          <w:u w:val="none"/>
          <w:lang w:val="en-US" w:eastAsia="zh-CN"/>
        </w:rPr>
        <w:t>收10</w:t>
      </w:r>
      <w:r>
        <w:rPr>
          <w:rFonts w:ascii="Times New Roman" w:hAnsi="Times New Roman" w:eastAsia="仿宋_GB2312"/>
          <w:sz w:val="32"/>
          <w:szCs w:val="32"/>
          <w:u w:val="none"/>
        </w:rPr>
        <w:t>亿元。</w:t>
      </w:r>
      <w:r>
        <w:rPr>
          <w:rFonts w:ascii="Times New Roman" w:hAnsi="Times New Roman" w:eastAsia="仿宋_GB2312"/>
          <w:b/>
          <w:bCs/>
          <w:sz w:val="32"/>
          <w:szCs w:val="32"/>
          <w:u w:val="none"/>
        </w:rPr>
        <w:t>牵头米粉产业发展。</w:t>
      </w:r>
      <w:r>
        <w:rPr>
          <w:rFonts w:hint="eastAsia" w:ascii="Times New Roman" w:hAnsi="Times New Roman" w:eastAsia="仿宋_GB2312" w:cs="Times New Roman"/>
          <w:sz w:val="32"/>
          <w:szCs w:val="32"/>
          <w:highlight w:val="none"/>
          <w:u w:val="none"/>
          <w:lang w:eastAsia="zh-CN"/>
        </w:rPr>
        <w:t>出台</w:t>
      </w:r>
      <w:r>
        <w:rPr>
          <w:rFonts w:ascii="Times New Roman" w:hAnsi="Times New Roman" w:eastAsia="仿宋_GB2312"/>
          <w:sz w:val="32"/>
          <w:szCs w:val="32"/>
          <w:highlight w:val="none"/>
          <w:u w:val="none"/>
        </w:rPr>
        <w:t>《常德市支持常德米粉产业发展的十条政策措施》</w:t>
      </w:r>
      <w:r>
        <w:rPr>
          <w:rFonts w:hint="eastAsia"/>
          <w:sz w:val="32"/>
          <w:szCs w:val="32"/>
          <w:highlight w:val="none"/>
          <w:u w:val="none"/>
          <w:lang w:eastAsia="zh-CN"/>
        </w:rPr>
        <w:t>（</w:t>
      </w:r>
      <w:r>
        <w:rPr>
          <w:rFonts w:hint="eastAsia" w:ascii="Times New Roman" w:hAnsi="Times New Roman" w:eastAsia="仿宋_GB2312"/>
          <w:sz w:val="32"/>
          <w:szCs w:val="32"/>
          <w:highlight w:val="none"/>
          <w:u w:val="none"/>
          <w:lang w:eastAsia="zh-CN"/>
        </w:rPr>
        <w:t>常政办发〔</w:t>
      </w:r>
      <w:r>
        <w:rPr>
          <w:rFonts w:hint="eastAsia" w:ascii="Times New Roman" w:hAnsi="Times New Roman" w:eastAsia="仿宋_GB2312"/>
          <w:sz w:val="32"/>
          <w:szCs w:val="32"/>
          <w:highlight w:val="none"/>
          <w:u w:val="none"/>
          <w:lang w:val="en-US" w:eastAsia="zh-CN"/>
        </w:rPr>
        <w:t>2021</w:t>
      </w:r>
      <w:r>
        <w:rPr>
          <w:rFonts w:hint="eastAsia" w:ascii="Times New Roman" w:hAnsi="Times New Roman" w:eastAsia="仿宋_GB2312"/>
          <w:sz w:val="32"/>
          <w:szCs w:val="32"/>
          <w:highlight w:val="none"/>
          <w:u w:val="none"/>
          <w:lang w:eastAsia="zh-CN"/>
        </w:rPr>
        <w:t>〕</w:t>
      </w:r>
      <w:r>
        <w:rPr>
          <w:rFonts w:hint="eastAsia" w:ascii="Times New Roman" w:hAnsi="Times New Roman" w:eastAsia="仿宋_GB2312"/>
          <w:sz w:val="32"/>
          <w:szCs w:val="32"/>
          <w:highlight w:val="none"/>
          <w:u w:val="none"/>
          <w:lang w:val="en-US" w:eastAsia="zh-CN"/>
        </w:rPr>
        <w:t>21号</w:t>
      </w:r>
      <w:r>
        <w:rPr>
          <w:rFonts w:hint="eastAsia"/>
          <w:sz w:val="32"/>
          <w:szCs w:val="32"/>
          <w:highlight w:val="none"/>
          <w:u w:val="none"/>
          <w:lang w:eastAsia="zh-CN"/>
        </w:rPr>
        <w:t>）</w:t>
      </w:r>
      <w:r>
        <w:rPr>
          <w:rFonts w:ascii="Times New Roman" w:hAnsi="Times New Roman" w:eastAsia="仿宋_GB2312"/>
          <w:sz w:val="32"/>
          <w:szCs w:val="32"/>
          <w:u w:val="none"/>
        </w:rPr>
        <w:t>。启动产业园项目建设和常德米粉标准体系制定工作，开展常德米粉保鲜技术、发酵菌种提纯技术研发，启动中央厨房建设并打造旗舰店2家，积极推进常德米粉平台数字化建设。</w:t>
      </w:r>
      <w:r>
        <w:rPr>
          <w:rFonts w:ascii="Times New Roman" w:hAnsi="Times New Roman" w:eastAsia="仿宋_GB2312"/>
          <w:b/>
          <w:bCs/>
          <w:sz w:val="32"/>
          <w:szCs w:val="32"/>
          <w:u w:val="none"/>
        </w:rPr>
        <w:t>牵头广告产业发展。</w:t>
      </w:r>
      <w:r>
        <w:rPr>
          <w:rFonts w:ascii="Times New Roman" w:hAnsi="Times New Roman" w:eastAsia="仿宋_GB2312"/>
          <w:sz w:val="32"/>
          <w:szCs w:val="32"/>
          <w:u w:val="none"/>
        </w:rPr>
        <w:t>将申报国家级广告产业园和申报“湖南国宗铝业广告新材料加工制作基地”“湖南粤港模科”广告装饰材料加工制作基地建设列入《湖南省十四五”广告产业发展规划》，分别得到了国家总局和省局的支持，广告产业园已入驻多个优势产业项目。目前，全市共有广告文创市场主体6003家，从业人员5</w:t>
      </w:r>
      <w:r>
        <w:rPr>
          <w:rFonts w:hint="eastAsia" w:ascii="Times New Roman" w:hAnsi="Times New Roman" w:eastAsia="仿宋_GB2312"/>
          <w:sz w:val="32"/>
          <w:szCs w:val="32"/>
          <w:u w:val="none"/>
        </w:rPr>
        <w:t>万余</w:t>
      </w:r>
      <w:r>
        <w:rPr>
          <w:rFonts w:ascii="Times New Roman" w:hAnsi="Times New Roman" w:eastAsia="仿宋_GB2312"/>
          <w:sz w:val="32"/>
          <w:szCs w:val="32"/>
          <w:u w:val="none"/>
        </w:rPr>
        <w:t>人，实现广告经营额达30.31亿元。</w:t>
      </w:r>
    </w:p>
    <w:p>
      <w:pPr>
        <w:spacing w:line="560" w:lineRule="exact"/>
        <w:ind w:firstLine="640" w:firstLineChars="200"/>
        <w:rPr>
          <w:rFonts w:ascii="Times New Roman" w:hAnsi="Times New Roman"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五</w:t>
      </w:r>
      <w:r>
        <w:rPr>
          <w:rFonts w:hint="eastAsia" w:ascii="楷体" w:hAnsi="楷体" w:eastAsia="楷体" w:cs="楷体"/>
          <w:sz w:val="32"/>
          <w:szCs w:val="32"/>
          <w:u w:val="none"/>
        </w:rPr>
        <w:t>）聚焦市场秩序，提高市场环境免疫力。</w:t>
      </w:r>
      <w:r>
        <w:rPr>
          <w:rFonts w:ascii="Times New Roman" w:hAnsi="Times New Roman" w:eastAsia="仿宋_GB2312"/>
          <w:sz w:val="32"/>
          <w:szCs w:val="32"/>
          <w:u w:val="none"/>
        </w:rPr>
        <w:t>结合党史学习教育和“我为群众办实事”，以民生领域群众“急难愁盼”问题</w:t>
      </w:r>
      <w:r>
        <w:rPr>
          <w:rFonts w:hint="eastAsia" w:ascii="Times New Roman" w:hAnsi="Times New Roman" w:eastAsia="仿宋_GB2312"/>
          <w:sz w:val="32"/>
          <w:szCs w:val="32"/>
          <w:u w:val="none"/>
        </w:rPr>
        <w:t>为</w:t>
      </w:r>
      <w:r>
        <w:rPr>
          <w:rFonts w:ascii="Times New Roman" w:hAnsi="Times New Roman" w:eastAsia="仿宋_GB2312"/>
          <w:sz w:val="32"/>
          <w:szCs w:val="32"/>
          <w:u w:val="none"/>
        </w:rPr>
        <w:t>切入点，开展民生领域案件查办“铁拳”行动、涉企收费专项治理、农村假冒伪劣食品专项执法、农村药品安全专项整治、“长江禁捕打非断链”专项行动、专利侵权违法行为、打击假冒伪劣行动、打击侵权假冒工作、酒类和烟草市场综合治理等。全市办结的药械化一般程序案件数、较大案件数暂居全省第一。鼎城区赵某涉嫌经营假冒化妆品案被省药监局、省公安厅挂牌督办。国家市场监管总局挂牌督办的食品非法添加案，主犯判处有期徒刑14年。</w:t>
      </w:r>
      <w:r>
        <w:rPr>
          <w:rFonts w:ascii="Times New Roman" w:hAnsi="Times New Roman" w:eastAsia="仿宋_GB2312"/>
          <w:b/>
          <w:bCs/>
          <w:sz w:val="32"/>
          <w:szCs w:val="32"/>
          <w:u w:val="none"/>
        </w:rPr>
        <w:t>组织开展打击传销专项整治行动。</w:t>
      </w:r>
      <w:r>
        <w:rPr>
          <w:rFonts w:ascii="Times New Roman" w:hAnsi="Times New Roman" w:eastAsia="仿宋_GB2312"/>
          <w:sz w:val="32"/>
          <w:szCs w:val="32"/>
          <w:u w:val="none"/>
        </w:rPr>
        <w:t>全市办理传销案件10起，罚没金额1亿</w:t>
      </w:r>
      <w:r>
        <w:rPr>
          <w:rFonts w:hint="eastAsia" w:ascii="Times New Roman" w:hAnsi="Times New Roman" w:eastAsia="仿宋_GB2312"/>
          <w:sz w:val="32"/>
          <w:szCs w:val="32"/>
          <w:u w:val="none"/>
        </w:rPr>
        <w:t>余</w:t>
      </w:r>
      <w:r>
        <w:rPr>
          <w:rFonts w:ascii="Times New Roman" w:hAnsi="Times New Roman" w:eastAsia="仿宋_GB2312"/>
          <w:sz w:val="32"/>
          <w:szCs w:val="32"/>
          <w:u w:val="none"/>
        </w:rPr>
        <w:t>元。</w:t>
      </w:r>
      <w:r>
        <w:rPr>
          <w:rFonts w:ascii="Times New Roman" w:hAnsi="Times New Roman" w:eastAsia="仿宋_GB2312"/>
          <w:b/>
          <w:bCs/>
          <w:sz w:val="32"/>
          <w:szCs w:val="32"/>
          <w:u w:val="none"/>
        </w:rPr>
        <w:t>积极开展涉企收费、减轻企业负担专项行动。</w:t>
      </w:r>
      <w:r>
        <w:rPr>
          <w:rFonts w:ascii="Times New Roman" w:hAnsi="Times New Roman" w:eastAsia="仿宋_GB2312"/>
          <w:sz w:val="32"/>
          <w:szCs w:val="32"/>
          <w:u w:val="none"/>
        </w:rPr>
        <w:t>对医院、学校及行业协会商会乱收费行为进行检查，全市检查各类单位465个，发现涉嫌价格违规单位108个，立案87起，结案63起，退还没收罚款664.92万元。组织开展了全市转供电环节收费专项整治工作，责令60家单位共清退多收的电费536万元。</w:t>
      </w:r>
      <w:r>
        <w:rPr>
          <w:rFonts w:ascii="Times New Roman" w:hAnsi="Times New Roman" w:eastAsia="仿宋_GB2312"/>
          <w:b/>
          <w:bCs/>
          <w:sz w:val="32"/>
          <w:szCs w:val="32"/>
          <w:u w:val="none"/>
        </w:rPr>
        <w:t>全面实施“双随机、一公开”监管。</w:t>
      </w:r>
      <w:r>
        <w:rPr>
          <w:rFonts w:ascii="Times New Roman" w:hAnsi="Times New Roman" w:eastAsia="仿宋_GB2312"/>
          <w:sz w:val="32"/>
          <w:szCs w:val="32"/>
          <w:u w:val="none"/>
        </w:rPr>
        <w:t>“一单两库”建设逐步完善，全市共制定计划1008起，其中部门联合达到了339起，占比超1/3，基本上实现了部门联合抽查工作的常态化。大力开展公平竞争审查，加大市场主体合法经营行为保护和非法经营行为打击力度，构建公平市场竞争环境，建立市场领域轻微违法违规经营行为容错机制和免罚清单。</w:t>
      </w:r>
      <w:r>
        <w:rPr>
          <w:rFonts w:ascii="Times New Roman" w:hAnsi="Times New Roman" w:eastAsia="仿宋_GB2312"/>
          <w:b/>
          <w:bCs/>
          <w:sz w:val="32"/>
          <w:szCs w:val="32"/>
          <w:u w:val="none"/>
        </w:rPr>
        <w:t>做好企业经营异常名录、“黑名单”管理工作。</w:t>
      </w:r>
      <w:r>
        <w:rPr>
          <w:rFonts w:ascii="Times New Roman" w:hAnsi="Times New Roman" w:eastAsia="仿宋_GB2312"/>
          <w:sz w:val="32"/>
          <w:szCs w:val="32"/>
          <w:u w:val="none"/>
        </w:rPr>
        <w:t>严格执行联合惩戒制度，形成“一处违法，处处受限”的联合惩戒机制；对符合条件的企业，完善企业信用修复机制，引导市场主体规范经营。全市共列入经营异常名录2848户次，共修复855个市场主体。年报工作稳居全省第一，实现了年报工作的全省五连冠。</w:t>
      </w:r>
    </w:p>
    <w:p>
      <w:pPr>
        <w:spacing w:line="560" w:lineRule="exact"/>
        <w:ind w:firstLine="640" w:firstLineChars="200"/>
        <w:rPr>
          <w:rFonts w:ascii="Times New Roman" w:hAnsi="Times New Roman" w:eastAsia="仿宋_GB2312"/>
          <w:sz w:val="32"/>
          <w:szCs w:val="32"/>
          <w:u w:val="none"/>
        </w:rPr>
      </w:pPr>
      <w:r>
        <w:rPr>
          <w:rFonts w:hint="eastAsia" w:ascii="楷体" w:hAnsi="楷体" w:eastAsia="楷体" w:cs="楷体"/>
          <w:sz w:val="32"/>
          <w:szCs w:val="32"/>
          <w:u w:val="none"/>
        </w:rPr>
        <w:t>（</w:t>
      </w:r>
      <w:r>
        <w:rPr>
          <w:rFonts w:hint="eastAsia" w:ascii="楷体" w:hAnsi="楷体" w:eastAsia="楷体" w:cs="楷体"/>
          <w:sz w:val="32"/>
          <w:szCs w:val="32"/>
          <w:u w:val="none"/>
          <w:lang w:val="en-US" w:eastAsia="zh-CN"/>
        </w:rPr>
        <w:t>六</w:t>
      </w:r>
      <w:r>
        <w:rPr>
          <w:rFonts w:hint="eastAsia" w:ascii="楷体" w:hAnsi="楷体" w:eastAsia="楷体" w:cs="楷体"/>
          <w:sz w:val="32"/>
          <w:szCs w:val="32"/>
          <w:u w:val="none"/>
        </w:rPr>
        <w:t>）聚焦品牌质量，发挥市场主体硬实力。</w:t>
      </w:r>
      <w:r>
        <w:rPr>
          <w:rFonts w:ascii="Times New Roman" w:hAnsi="Times New Roman" w:eastAsia="仿宋_GB2312"/>
          <w:b/>
          <w:bCs/>
          <w:sz w:val="32"/>
          <w:szCs w:val="32"/>
          <w:u w:val="none"/>
        </w:rPr>
        <w:t>先行先试抓机遇。</w:t>
      </w:r>
      <w:r>
        <w:rPr>
          <w:rFonts w:ascii="Times New Roman" w:hAnsi="Times New Roman" w:eastAsia="仿宋_GB2312"/>
          <w:sz w:val="32"/>
          <w:szCs w:val="32"/>
          <w:u w:val="none"/>
        </w:rPr>
        <w:t>组织开展常德市首届市长质量奖评选工作，召开首届市长质量奖颁奖大会。持续探索推行首席质量官制度，2021年新增培育首席质量官101名，累计达237名，为企业提供质量基础人才。探索全面规范产品合格证全国试点工作。制定《常德市市场监督管理局关于全面规范产品合格证工作推进方案》，选取一批推进标杆企业，并通过“产品合格证云平台”强化智慧监管效能。</w:t>
      </w:r>
      <w:r>
        <w:rPr>
          <w:rFonts w:hint="eastAsia"/>
          <w:sz w:val="32"/>
          <w:szCs w:val="32"/>
          <w:u w:val="none"/>
          <w:lang w:eastAsia="zh-CN"/>
        </w:rPr>
        <w:t>截止</w:t>
      </w:r>
      <w:r>
        <w:rPr>
          <w:rFonts w:hint="eastAsia"/>
          <w:sz w:val="32"/>
          <w:szCs w:val="32"/>
          <w:u w:val="none"/>
          <w:lang w:val="en-US" w:eastAsia="zh-CN"/>
        </w:rPr>
        <w:t>2021年底</w:t>
      </w:r>
      <w:r>
        <w:rPr>
          <w:rFonts w:ascii="Times New Roman" w:hAnsi="Times New Roman" w:eastAsia="仿宋_GB2312"/>
          <w:sz w:val="32"/>
          <w:szCs w:val="32"/>
          <w:u w:val="none"/>
        </w:rPr>
        <w:t>，</w:t>
      </w:r>
      <w:r>
        <w:rPr>
          <w:rFonts w:hint="eastAsia" w:ascii="Times New Roman" w:hAnsi="Times New Roman" w:eastAsia="仿宋_GB2312"/>
          <w:sz w:val="32"/>
          <w:szCs w:val="32"/>
          <w:u w:val="none"/>
        </w:rPr>
        <w:t>全市</w:t>
      </w:r>
      <w:r>
        <w:rPr>
          <w:rFonts w:ascii="Times New Roman" w:hAnsi="Times New Roman" w:eastAsia="仿宋_GB2312"/>
          <w:sz w:val="32"/>
          <w:szCs w:val="32"/>
          <w:u w:val="none"/>
        </w:rPr>
        <w:t>已有入驻平台的企业涉及35个行业大类1089个产品，上传检验报告3596份，合格证110万份，消费者扫码关注查询2535条</w:t>
      </w:r>
      <w:r>
        <w:rPr>
          <w:rFonts w:hint="eastAsia" w:ascii="仿宋_GB2312" w:eastAsia="仿宋_GB2312"/>
          <w:sz w:val="32"/>
          <w:szCs w:val="32"/>
          <w:u w:val="none"/>
        </w:rPr>
        <w:t>。</w:t>
      </w:r>
      <w:r>
        <w:rPr>
          <w:rFonts w:ascii="Times New Roman" w:hAnsi="Times New Roman" w:eastAsia="仿宋_GB2312"/>
          <w:sz w:val="32"/>
          <w:szCs w:val="32"/>
          <w:u w:val="none"/>
        </w:rPr>
        <w:t>我市</w:t>
      </w:r>
      <w:r>
        <w:rPr>
          <w:rFonts w:hint="eastAsia" w:ascii="Times New Roman" w:hAnsi="Times New Roman" w:eastAsia="仿宋_GB2312"/>
          <w:sz w:val="32"/>
          <w:szCs w:val="32"/>
          <w:u w:val="none"/>
        </w:rPr>
        <w:t>作</w:t>
      </w:r>
      <w:r>
        <w:rPr>
          <w:rFonts w:ascii="Times New Roman" w:hAnsi="Times New Roman" w:eastAsia="仿宋_GB2312"/>
          <w:sz w:val="32"/>
          <w:szCs w:val="32"/>
          <w:u w:val="none"/>
        </w:rPr>
        <w:t>为全</w:t>
      </w:r>
      <w:r>
        <w:rPr>
          <w:rFonts w:hint="eastAsia" w:ascii="Times New Roman" w:hAnsi="Times New Roman" w:eastAsia="仿宋_GB2312"/>
          <w:sz w:val="32"/>
          <w:szCs w:val="32"/>
          <w:u w:val="none"/>
        </w:rPr>
        <w:t>国</w:t>
      </w:r>
      <w:r>
        <w:rPr>
          <w:rFonts w:ascii="Times New Roman" w:hAnsi="Times New Roman" w:eastAsia="仿宋_GB2312"/>
          <w:sz w:val="32"/>
          <w:szCs w:val="32"/>
          <w:u w:val="none"/>
        </w:rPr>
        <w:t>首批国家基本公共服务标准化综合试点的三个</w:t>
      </w:r>
      <w:r>
        <w:rPr>
          <w:rFonts w:hint="eastAsia" w:ascii="Times New Roman" w:hAnsi="Times New Roman" w:eastAsia="仿宋_GB2312"/>
          <w:sz w:val="32"/>
          <w:szCs w:val="32"/>
          <w:u w:val="none"/>
        </w:rPr>
        <w:t>城市</w:t>
      </w:r>
      <w:r>
        <w:rPr>
          <w:rFonts w:ascii="Times New Roman" w:hAnsi="Times New Roman" w:eastAsia="仿宋_GB2312"/>
          <w:sz w:val="32"/>
          <w:szCs w:val="32"/>
          <w:u w:val="none"/>
        </w:rPr>
        <w:t>之一</w:t>
      </w:r>
      <w:r>
        <w:rPr>
          <w:rFonts w:hint="eastAsia" w:ascii="Times New Roman" w:hAnsi="Times New Roman" w:eastAsia="仿宋_GB2312"/>
          <w:sz w:val="32"/>
          <w:szCs w:val="32"/>
          <w:u w:val="none"/>
        </w:rPr>
        <w:t>，</w:t>
      </w:r>
      <w:r>
        <w:rPr>
          <w:rFonts w:hint="eastAsia"/>
          <w:sz w:val="32"/>
          <w:szCs w:val="32"/>
          <w:u w:val="none"/>
          <w:lang w:val="en-US" w:eastAsia="zh-CN"/>
        </w:rPr>
        <w:t>2021年</w:t>
      </w:r>
      <w:r>
        <w:rPr>
          <w:rFonts w:hint="eastAsia" w:ascii="Times New Roman" w:hAnsi="Times New Roman" w:eastAsia="仿宋_GB2312"/>
          <w:sz w:val="32"/>
          <w:szCs w:val="32"/>
          <w:u w:val="none"/>
          <w:lang w:eastAsia="zh-CN"/>
        </w:rPr>
        <w:t>颁</w:t>
      </w:r>
      <w:r>
        <w:rPr>
          <w:rFonts w:ascii="Times New Roman" w:hAnsi="Times New Roman" w:eastAsia="仿宋_GB2312"/>
          <w:sz w:val="32"/>
          <w:szCs w:val="32"/>
          <w:u w:val="none"/>
        </w:rPr>
        <w:t>布了《常德市基本公共服务标准体系及标准》《常德市基本公共服务标准体系实施方案》</w:t>
      </w:r>
      <w:r>
        <w:rPr>
          <w:rFonts w:hint="eastAsia" w:ascii="Times New Roman" w:hAnsi="Times New Roman" w:eastAsia="仿宋_GB2312"/>
          <w:sz w:val="32"/>
          <w:szCs w:val="32"/>
          <w:u w:val="none"/>
        </w:rPr>
        <w:t>，</w:t>
      </w:r>
      <w:r>
        <w:rPr>
          <w:rFonts w:ascii="Times New Roman" w:hAnsi="Times New Roman" w:eastAsia="仿宋_GB2312"/>
          <w:sz w:val="32"/>
          <w:szCs w:val="32"/>
          <w:u w:val="none"/>
        </w:rPr>
        <w:t>涵盖国家标准135项、行业标准76项、地方标准17项、自编标准174项、共计402项，其中自编标准包含基本公共服务基础标准5项、事项标准154项和评价标准15项，均已编制完成。</w:t>
      </w:r>
      <w:r>
        <w:rPr>
          <w:rFonts w:ascii="Times New Roman" w:hAnsi="Times New Roman" w:eastAsia="仿宋_GB2312"/>
          <w:b/>
          <w:bCs/>
          <w:sz w:val="32"/>
          <w:szCs w:val="32"/>
          <w:u w:val="none"/>
        </w:rPr>
        <w:t>善作善成牢基础。</w:t>
      </w:r>
      <w:r>
        <w:rPr>
          <w:rFonts w:ascii="Times New Roman" w:hAnsi="Times New Roman" w:eastAsia="仿宋_GB2312"/>
          <w:sz w:val="32"/>
          <w:szCs w:val="32"/>
          <w:u w:val="none"/>
        </w:rPr>
        <w:t>开展企业产品和服务标准自我声明公开工作，共新增105家企业431项标准。推动7家企业开展绿色设计产品、节能产品、低碳产品、能源管理体系认证。开展“计量服务中小企业”活动，共帮助企业建立计量管理制度31项，提出整改建议21项。明确市县两级强检项目清单，将计量器具强制检定职责分别落实到市县两级，进一步推动强制检定法定职责的有效履行。全市各级计量检定机构共检定各类强检计量器具154099台件，合格率98%。</w:t>
      </w:r>
      <w:r>
        <w:rPr>
          <w:rFonts w:ascii="Times New Roman" w:hAnsi="Times New Roman" w:eastAsia="仿宋_GB2312"/>
          <w:b/>
          <w:bCs/>
          <w:sz w:val="32"/>
          <w:szCs w:val="32"/>
          <w:u w:val="none"/>
        </w:rPr>
        <w:t>敢想敢为铸品牌。</w:t>
      </w:r>
      <w:r>
        <w:rPr>
          <w:rFonts w:ascii="Times New Roman" w:hAnsi="Times New Roman" w:eastAsia="仿宋_GB2312"/>
          <w:sz w:val="32"/>
          <w:szCs w:val="32"/>
          <w:u w:val="none"/>
        </w:rPr>
        <w:t>启动“品牌常德品质消费”建设三年行动计划，开展多样化的品牌推介活动，创新常德城市品牌营销。成功举办首届“常德品牌故事大会”，将优秀作品优秀企业推向湖南省品牌故事大赛，取得征文类获一等奖一名，演讲类获一等奖一名，二等奖两名的优异成绩</w:t>
      </w:r>
      <w:r>
        <w:rPr>
          <w:rFonts w:hint="eastAsia" w:ascii="Times New Roman" w:hAnsi="Times New Roman" w:eastAsia="仿宋_GB2312"/>
          <w:sz w:val="32"/>
          <w:szCs w:val="32"/>
          <w:u w:val="none"/>
        </w:rPr>
        <w:t>，</w:t>
      </w:r>
      <w:r>
        <w:rPr>
          <w:rFonts w:hint="eastAsia" w:ascii="Times New Roman" w:hAnsi="Times New Roman" w:eastAsia="仿宋_GB2312"/>
          <w:sz w:val="32"/>
          <w:u w:val="none"/>
        </w:rPr>
        <w:t>金健米业股份有限公司入围第九届全国品牌故事大赛演讲比赛全国总决赛</w:t>
      </w:r>
      <w:r>
        <w:rPr>
          <w:rFonts w:ascii="Times New Roman" w:hAnsi="Times New Roman" w:eastAsia="仿宋_GB2312"/>
          <w:sz w:val="32"/>
          <w:szCs w:val="32"/>
          <w:u w:val="none"/>
        </w:rPr>
        <w:t>。</w:t>
      </w:r>
    </w:p>
    <w:p>
      <w:pPr>
        <w:pStyle w:val="4"/>
        <w:widowControl/>
        <w:spacing w:line="600"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七、存在的问题及原因分析</w:t>
      </w:r>
    </w:p>
    <w:p>
      <w:pPr>
        <w:keepNext w:val="0"/>
        <w:keepLines w:val="0"/>
        <w:pageBreakBefore w:val="0"/>
        <w:kinsoku/>
        <w:overflowPunct/>
        <w:topLinePunct w:val="0"/>
        <w:autoSpaceDN/>
        <w:bidi w:val="0"/>
        <w:adjustRightInd/>
        <w:spacing w:line="560" w:lineRule="exact"/>
        <w:ind w:firstLine="640" w:firstLineChars="200"/>
        <w:textAlignment w:val="auto"/>
        <w:outlineLvl w:val="0"/>
        <w:rPr>
          <w:rFonts w:hint="default"/>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w:t>
      </w:r>
      <w:r>
        <w:rPr>
          <w:rFonts w:hint="eastAsia" w:ascii="楷体" w:hAnsi="楷体" w:eastAsia="楷体" w:cs="楷体"/>
          <w:bCs/>
          <w:sz w:val="32"/>
          <w:szCs w:val="32"/>
        </w:rPr>
        <w:t>政府采购预算</w:t>
      </w:r>
      <w:r>
        <w:rPr>
          <w:rFonts w:hint="eastAsia" w:ascii="楷体" w:hAnsi="楷体" w:eastAsia="楷体" w:cs="楷体"/>
          <w:bCs/>
          <w:sz w:val="32"/>
          <w:szCs w:val="32"/>
          <w:lang w:val="en-US" w:eastAsia="zh-CN"/>
        </w:rPr>
        <w:t>编制</w:t>
      </w:r>
      <w:r>
        <w:rPr>
          <w:rFonts w:hint="eastAsia" w:ascii="楷体" w:hAnsi="楷体" w:eastAsia="楷体" w:cs="楷体"/>
          <w:bCs/>
          <w:sz w:val="32"/>
          <w:szCs w:val="32"/>
        </w:rPr>
        <w:t>不</w:t>
      </w:r>
      <w:r>
        <w:rPr>
          <w:rFonts w:hint="eastAsia" w:ascii="楷体" w:hAnsi="楷体" w:eastAsia="楷体" w:cs="楷体"/>
          <w:bCs/>
          <w:sz w:val="32"/>
          <w:szCs w:val="32"/>
          <w:lang w:val="en-US" w:eastAsia="zh-CN"/>
        </w:rPr>
        <w:t>够</w:t>
      </w:r>
      <w:r>
        <w:rPr>
          <w:rFonts w:hint="eastAsia" w:ascii="楷体" w:hAnsi="楷体" w:eastAsia="楷体" w:cs="楷体"/>
          <w:bCs/>
          <w:sz w:val="32"/>
          <w:szCs w:val="32"/>
        </w:rPr>
        <w:t>精准</w:t>
      </w:r>
    </w:p>
    <w:p>
      <w:pPr>
        <w:keepNext w:val="0"/>
        <w:keepLines w:val="0"/>
        <w:pageBreakBefore w:val="0"/>
        <w:kinsoku/>
        <w:overflowPunct/>
        <w:topLinePunct w:val="0"/>
        <w:autoSpaceDN/>
        <w:bidi w:val="0"/>
        <w:adjustRightInd/>
        <w:spacing w:line="560" w:lineRule="exact"/>
        <w:ind w:firstLine="640" w:firstLineChars="200"/>
        <w:textAlignment w:val="auto"/>
        <w:outlineLvl w:val="0"/>
        <w:rPr>
          <w:rFonts w:hint="default" w:ascii="Times New Roman" w:hAnsi="Times New Roman" w:cs="Times New Roman"/>
          <w:bCs/>
          <w:sz w:val="32"/>
          <w:szCs w:val="32"/>
        </w:rPr>
      </w:pPr>
      <w:r>
        <w:rPr>
          <w:rFonts w:hint="default" w:ascii="Times New Roman" w:hAnsi="Times New Roman" w:cs="Times New Roman"/>
          <w:bCs/>
          <w:sz w:val="32"/>
          <w:szCs w:val="32"/>
        </w:rPr>
        <w:t>202</w:t>
      </w:r>
      <w:r>
        <w:rPr>
          <w:rFonts w:hint="eastAsia" w:cs="Times New Roman"/>
          <w:bCs/>
          <w:sz w:val="32"/>
          <w:szCs w:val="32"/>
          <w:lang w:val="en-US" w:eastAsia="zh-CN"/>
        </w:rPr>
        <w:t>1</w:t>
      </w:r>
      <w:r>
        <w:rPr>
          <w:rFonts w:hint="default" w:ascii="Times New Roman" w:hAnsi="Times New Roman" w:cs="Times New Roman"/>
          <w:bCs/>
          <w:sz w:val="32"/>
          <w:szCs w:val="32"/>
        </w:rPr>
        <w:t>年政府采购预算</w:t>
      </w:r>
      <w:r>
        <w:rPr>
          <w:rFonts w:hint="eastAsia" w:cs="Times New Roman"/>
          <w:bCs/>
          <w:sz w:val="32"/>
          <w:szCs w:val="32"/>
          <w:lang w:val="en-US" w:eastAsia="zh-CN"/>
        </w:rPr>
        <w:t>1</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108.30</w:t>
      </w:r>
      <w:r>
        <w:rPr>
          <w:rFonts w:hint="default" w:ascii="Times New Roman" w:hAnsi="Times New Roman" w:cs="Times New Roman"/>
          <w:bCs/>
          <w:sz w:val="32"/>
          <w:szCs w:val="32"/>
        </w:rPr>
        <w:t>万元，政府采购执行</w:t>
      </w:r>
      <w:r>
        <w:rPr>
          <w:rFonts w:hint="eastAsia" w:cs="Times New Roman"/>
          <w:bCs/>
          <w:sz w:val="32"/>
          <w:szCs w:val="32"/>
          <w:lang w:val="en-US" w:eastAsia="zh-CN"/>
        </w:rPr>
        <w:t>2</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667</w:t>
      </w:r>
      <w:r>
        <w:rPr>
          <w:rFonts w:hint="default" w:ascii="Times New Roman" w:hAnsi="Times New Roman" w:cs="Times New Roman"/>
          <w:bCs/>
          <w:sz w:val="32"/>
          <w:szCs w:val="32"/>
          <w:lang w:val="en-US" w:eastAsia="zh-CN"/>
        </w:rPr>
        <w:t>.</w:t>
      </w:r>
      <w:r>
        <w:rPr>
          <w:rFonts w:hint="eastAsia" w:cs="Times New Roman"/>
          <w:bCs/>
          <w:sz w:val="32"/>
          <w:szCs w:val="32"/>
          <w:lang w:val="en-US" w:eastAsia="zh-CN"/>
        </w:rPr>
        <w:t>10</w:t>
      </w:r>
      <w:r>
        <w:rPr>
          <w:rFonts w:hint="default" w:ascii="Times New Roman" w:hAnsi="Times New Roman" w:cs="Times New Roman"/>
          <w:bCs/>
          <w:sz w:val="32"/>
          <w:szCs w:val="32"/>
          <w:lang w:val="en-US" w:eastAsia="zh-CN"/>
        </w:rPr>
        <w:t>万元</w:t>
      </w:r>
      <w:r>
        <w:rPr>
          <w:rFonts w:hint="default" w:ascii="Times New Roman" w:hAnsi="Times New Roman" w:cs="Times New Roman"/>
          <w:bCs/>
          <w:sz w:val="32"/>
          <w:szCs w:val="32"/>
        </w:rPr>
        <w:t>，预算执行率</w:t>
      </w:r>
      <w:r>
        <w:rPr>
          <w:rFonts w:hint="eastAsia" w:cs="Times New Roman"/>
          <w:bCs/>
          <w:sz w:val="32"/>
          <w:szCs w:val="32"/>
          <w:lang w:val="en-US" w:eastAsia="zh-CN"/>
        </w:rPr>
        <w:t>240</w:t>
      </w:r>
      <w:r>
        <w:rPr>
          <w:rFonts w:hint="default" w:ascii="Times New Roman" w:hAnsi="Times New Roman" w:cs="Times New Roman"/>
          <w:bCs/>
          <w:sz w:val="32"/>
          <w:szCs w:val="32"/>
        </w:rPr>
        <w:t>.</w:t>
      </w:r>
      <w:r>
        <w:rPr>
          <w:rFonts w:hint="eastAsia" w:cs="Times New Roman"/>
          <w:bCs/>
          <w:sz w:val="32"/>
          <w:szCs w:val="32"/>
          <w:lang w:val="en-US" w:eastAsia="zh-CN"/>
        </w:rPr>
        <w:t>65</w:t>
      </w:r>
      <w:r>
        <w:rPr>
          <w:rFonts w:hint="default" w:ascii="Times New Roman" w:hAnsi="Times New Roman" w:cs="Times New Roman"/>
          <w:bCs/>
          <w:sz w:val="32"/>
          <w:szCs w:val="32"/>
        </w:rPr>
        <w:t>%，预算偏差较大。</w:t>
      </w:r>
    </w:p>
    <w:p>
      <w:pPr>
        <w:pStyle w:val="7"/>
        <w:keepNext w:val="0"/>
        <w:keepLines w:val="0"/>
        <w:pageBreakBefore w:val="0"/>
        <w:kinsoku/>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bCs/>
          <w:kern w:val="2"/>
          <w:sz w:val="32"/>
          <w:szCs w:val="32"/>
        </w:rPr>
        <w:t>原因分析：</w:t>
      </w:r>
      <w:r>
        <w:rPr>
          <w:rFonts w:hint="eastAsia" w:cs="Times New Roman"/>
          <w:sz w:val="32"/>
          <w:szCs w:val="32"/>
          <w:lang w:val="en-US" w:eastAsia="zh-CN"/>
        </w:rPr>
        <w:t>一</w:t>
      </w:r>
      <w:r>
        <w:rPr>
          <w:rFonts w:hint="default" w:ascii="Times New Roman" w:hAnsi="Times New Roman" w:cs="Times New Roman"/>
          <w:sz w:val="32"/>
          <w:szCs w:val="32"/>
        </w:rPr>
        <w:t>是</w:t>
      </w:r>
      <w:r>
        <w:rPr>
          <w:rFonts w:hint="eastAsia" w:cs="Times New Roman"/>
          <w:sz w:val="32"/>
          <w:szCs w:val="32"/>
          <w:lang w:val="en-US" w:eastAsia="zh-CN"/>
        </w:rPr>
        <w:t>我单位严格执行政采云采购，基本做到了“应采尽采”</w:t>
      </w:r>
      <w:r>
        <w:rPr>
          <w:rFonts w:hint="eastAsia" w:cs="Times New Roman"/>
          <w:sz w:val="32"/>
          <w:szCs w:val="32"/>
          <w:lang w:eastAsia="zh-CN"/>
        </w:rPr>
        <w:t>，</w:t>
      </w:r>
      <w:r>
        <w:rPr>
          <w:rFonts w:hint="eastAsia" w:cs="Times New Roman"/>
          <w:bCs/>
          <w:kern w:val="2"/>
          <w:sz w:val="32"/>
          <w:szCs w:val="32"/>
          <w:lang w:val="en-US" w:eastAsia="zh-CN"/>
        </w:rPr>
        <w:t>二</w:t>
      </w:r>
      <w:r>
        <w:rPr>
          <w:rFonts w:hint="default" w:ascii="Times New Roman" w:hAnsi="Times New Roman" w:cs="Times New Roman"/>
          <w:bCs/>
          <w:kern w:val="2"/>
          <w:sz w:val="32"/>
          <w:szCs w:val="32"/>
        </w:rPr>
        <w:t>是</w:t>
      </w:r>
      <w:r>
        <w:rPr>
          <w:rFonts w:hint="eastAsia" w:cs="Times New Roman"/>
          <w:bCs/>
          <w:kern w:val="2"/>
          <w:sz w:val="32"/>
          <w:szCs w:val="32"/>
          <w:lang w:val="en-US" w:eastAsia="zh-CN"/>
        </w:rPr>
        <w:t>年初预算编制时</w:t>
      </w:r>
      <w:r>
        <w:rPr>
          <w:rFonts w:hint="default" w:ascii="Times New Roman" w:hAnsi="Times New Roman" w:cs="Times New Roman"/>
          <w:sz w:val="32"/>
          <w:szCs w:val="32"/>
        </w:rPr>
        <w:t>未</w:t>
      </w:r>
      <w:r>
        <w:rPr>
          <w:rFonts w:hint="default" w:ascii="Times New Roman" w:hAnsi="Times New Roman" w:cs="Times New Roman"/>
          <w:bCs/>
          <w:kern w:val="2"/>
          <w:sz w:val="32"/>
          <w:szCs w:val="32"/>
        </w:rPr>
        <w:t>对</w:t>
      </w:r>
      <w:r>
        <w:rPr>
          <w:rFonts w:hint="eastAsia" w:cs="Times New Roman"/>
          <w:bCs/>
          <w:kern w:val="2"/>
          <w:sz w:val="32"/>
          <w:szCs w:val="32"/>
          <w:lang w:val="en-US" w:eastAsia="zh-CN"/>
        </w:rPr>
        <w:t>办公用品等未达采购额度的零散物品进行采购</w:t>
      </w:r>
      <w:r>
        <w:rPr>
          <w:rFonts w:hint="default" w:ascii="Times New Roman" w:hAnsi="Times New Roman" w:cs="Times New Roman"/>
          <w:bCs/>
          <w:kern w:val="2"/>
          <w:sz w:val="32"/>
          <w:szCs w:val="32"/>
        </w:rPr>
        <w:t>预</w:t>
      </w:r>
      <w:r>
        <w:rPr>
          <w:rFonts w:hint="default" w:ascii="Times New Roman" w:hAnsi="Times New Roman" w:cs="Times New Roman"/>
          <w:sz w:val="32"/>
          <w:szCs w:val="32"/>
        </w:rPr>
        <w:t>算编制</w:t>
      </w:r>
      <w:r>
        <w:rPr>
          <w:rFonts w:hint="eastAsia" w:cs="Times New Roman"/>
          <w:sz w:val="32"/>
          <w:szCs w:val="32"/>
          <w:lang w:eastAsia="zh-CN"/>
        </w:rPr>
        <w:t>，</w:t>
      </w:r>
      <w:r>
        <w:rPr>
          <w:rFonts w:hint="eastAsia" w:cs="Times New Roman"/>
          <w:sz w:val="32"/>
          <w:szCs w:val="32"/>
          <w:lang w:val="en-US" w:eastAsia="zh-CN"/>
        </w:rPr>
        <w:t>三是市财政追加国检中心实验室设备款用于市食药检验所购买相关设备</w:t>
      </w:r>
      <w:r>
        <w:rPr>
          <w:rFonts w:hint="default" w:ascii="Times New Roman" w:hAnsi="Times New Roman" w:cs="Times New Roman"/>
          <w:sz w:val="32"/>
          <w:szCs w:val="32"/>
        </w:rPr>
        <w:t>。</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（二）部分预算绩效目标执行有偏差</w:t>
      </w:r>
    </w:p>
    <w:p>
      <w:pPr>
        <w:keepNext w:val="0"/>
        <w:keepLines w:val="0"/>
        <w:pageBreakBefore w:val="0"/>
        <w:kinsoku/>
        <w:overflowPunct/>
        <w:topLinePunct w:val="0"/>
        <w:autoSpaceDN/>
        <w:bidi w:val="0"/>
        <w:adjustRightInd/>
        <w:spacing w:line="560" w:lineRule="exact"/>
        <w:ind w:firstLine="640" w:firstLineChars="200"/>
        <w:textAlignment w:val="auto"/>
        <w:rPr>
          <w:rFonts w:hint="eastAsia" w:ascii="Times New Roman" w:hAnsi="Times New Roman" w:cs="Times New Roman"/>
          <w:bCs/>
          <w:kern w:val="2"/>
          <w:sz w:val="32"/>
          <w:szCs w:val="32"/>
          <w:highlight w:val="none"/>
          <w:lang w:val="en-US" w:eastAsia="zh-CN" w:bidi="ar-SA"/>
        </w:rPr>
      </w:pPr>
      <w:r>
        <w:rPr>
          <w:rFonts w:hint="eastAsia" w:ascii="Times New Roman" w:hAnsi="Times New Roman" w:cs="Times New Roman"/>
          <w:bCs/>
          <w:kern w:val="2"/>
          <w:sz w:val="32"/>
          <w:szCs w:val="32"/>
          <w:highlight w:val="none"/>
          <w:lang w:val="en-US" w:eastAsia="zh-CN" w:bidi="ar-SA"/>
        </w:rPr>
        <w:t>（1）</w:t>
      </w:r>
      <w:r>
        <w:rPr>
          <w:rFonts w:hint="eastAsia" w:ascii="Times New Roman" w:hAnsi="Times New Roman" w:eastAsia="仿宋_GB2312" w:cs="Times New Roman"/>
          <w:bCs/>
          <w:kern w:val="2"/>
          <w:sz w:val="32"/>
          <w:szCs w:val="32"/>
          <w:highlight w:val="none"/>
          <w:lang w:val="en-US" w:eastAsia="zh-CN" w:bidi="ar-SA"/>
        </w:rPr>
        <w:t>国家食品安全示范城创建专项</w:t>
      </w:r>
      <w:r>
        <w:rPr>
          <w:rFonts w:hint="eastAsia" w:ascii="Times New Roman" w:hAnsi="Times New Roman" w:cs="Times New Roman"/>
          <w:bCs/>
          <w:kern w:val="2"/>
          <w:sz w:val="32"/>
          <w:szCs w:val="32"/>
          <w:highlight w:val="none"/>
          <w:lang w:val="en-US" w:eastAsia="zh-CN" w:bidi="ar-SA"/>
        </w:rPr>
        <w:t>中“食安工作满意度测评经费未在2021年度完成支付”</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bCs/>
          <w:kern w:val="2"/>
          <w:sz w:val="32"/>
          <w:szCs w:val="32"/>
          <w:highlight w:val="none"/>
          <w:lang w:val="en-US" w:eastAsia="zh-CN" w:bidi="ar-SA"/>
        </w:rPr>
      </w:pPr>
      <w:r>
        <w:rPr>
          <w:rFonts w:hint="default" w:ascii="Times New Roman" w:hAnsi="Times New Roman" w:cs="Times New Roman"/>
          <w:bCs/>
          <w:kern w:val="2"/>
          <w:sz w:val="32"/>
          <w:szCs w:val="32"/>
        </w:rPr>
        <w:t>原因分析：</w:t>
      </w:r>
      <w:r>
        <w:rPr>
          <w:rFonts w:hint="eastAsia" w:ascii="Times New Roman" w:hAnsi="Times New Roman" w:cs="Times New Roman"/>
          <w:bCs/>
          <w:kern w:val="2"/>
          <w:sz w:val="32"/>
          <w:szCs w:val="32"/>
          <w:highlight w:val="none"/>
          <w:lang w:val="en-US" w:eastAsia="zh-CN" w:bidi="ar-SA"/>
        </w:rPr>
        <w:t>根据创建国家食品安全示范城工作安排，为全面掌握全市食品安全总体状况，客观评价食品安全监管工作成效，2021年11月开展食品安全满意度调查，涉及9个区县市、5个管理区，共呼出电话176575人次，该项工作于年底前基本完成，由于未出具调查报告，经费结转至2022年支出。</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bCs/>
          <w:sz w:val="32"/>
          <w:szCs w:val="32"/>
        </w:rPr>
      </w:pPr>
      <w:r>
        <w:rPr>
          <w:rFonts w:hint="eastAsia" w:ascii="Times New Roman" w:hAnsi="Times New Roman" w:cs="Times New Roman"/>
          <w:bCs/>
          <w:kern w:val="2"/>
          <w:sz w:val="32"/>
          <w:szCs w:val="32"/>
          <w:highlight w:val="none"/>
          <w:lang w:val="en-US" w:eastAsia="zh-CN" w:bidi="ar-SA"/>
        </w:rPr>
        <w:t>（2）市食品抽检专项中“市食品检验所食品宣传及工作技能培训次数、业务培训次数仅完成17次，未达到19次目标值”</w:t>
      </w:r>
      <w:r>
        <w:rPr>
          <w:rFonts w:hint="default" w:ascii="Times New Roman" w:hAnsi="Times New Roman" w:cs="Times New Roman"/>
          <w:bCs/>
          <w:sz w:val="32"/>
          <w:szCs w:val="32"/>
        </w:rPr>
        <w:t>。</w:t>
      </w:r>
    </w:p>
    <w:p>
      <w:pPr>
        <w:pStyle w:val="7"/>
        <w:keepNext w:val="0"/>
        <w:keepLines w:val="0"/>
        <w:pageBreakBefore w:val="0"/>
        <w:kinsoku/>
        <w:overflowPunct/>
        <w:topLinePunct w:val="0"/>
        <w:autoSpaceDN/>
        <w:bidi w:val="0"/>
        <w:adjustRightInd/>
        <w:spacing w:before="0" w:beforeAutospacing="0" w:after="0" w:afterAutospacing="0" w:line="560" w:lineRule="exact"/>
        <w:ind w:firstLine="640" w:firstLineChars="200"/>
        <w:textAlignment w:val="auto"/>
        <w:rPr>
          <w:rFonts w:hint="eastAsia" w:ascii="Times New Roman" w:hAnsi="Times New Roman" w:cs="Times New Roman"/>
          <w:bCs/>
          <w:kern w:val="2"/>
          <w:sz w:val="32"/>
          <w:szCs w:val="32"/>
          <w:lang w:val="en-US" w:eastAsia="zh-CN"/>
        </w:rPr>
      </w:pPr>
      <w:r>
        <w:rPr>
          <w:rFonts w:hint="default" w:ascii="Times New Roman" w:hAnsi="Times New Roman" w:cs="Times New Roman"/>
          <w:bCs/>
          <w:kern w:val="2"/>
          <w:sz w:val="32"/>
          <w:szCs w:val="32"/>
        </w:rPr>
        <w:t>原因分析：食品宣传及工作技能培训次数、业务培训次数</w:t>
      </w:r>
      <w:r>
        <w:rPr>
          <w:rFonts w:hint="eastAsia" w:ascii="Times New Roman" w:hAnsi="Times New Roman" w:cs="Times New Roman"/>
          <w:bCs/>
          <w:kern w:val="2"/>
          <w:sz w:val="32"/>
          <w:szCs w:val="32"/>
          <w:lang w:val="en-US" w:eastAsia="zh-CN"/>
        </w:rPr>
        <w:t>未达到目标主要原因：疫情影响，外出培训减少。</w:t>
      </w:r>
    </w:p>
    <w:p>
      <w:pPr>
        <w:keepNext w:val="0"/>
        <w:keepLines w:val="0"/>
        <w:pageBreakBefore w:val="0"/>
        <w:numPr>
          <w:ilvl w:val="0"/>
          <w:numId w:val="6"/>
        </w:numPr>
        <w:kinsoku/>
        <w:overflowPunct/>
        <w:topLinePunct w:val="0"/>
        <w:autoSpaceDN/>
        <w:bidi w:val="0"/>
        <w:adjustRightInd/>
        <w:spacing w:line="560" w:lineRule="exact"/>
        <w:ind w:firstLine="640" w:firstLineChars="200"/>
        <w:textAlignment w:val="auto"/>
        <w:outlineLvl w:val="0"/>
        <w:rPr>
          <w:rFonts w:hint="eastAsia"/>
          <w:lang w:val="en-US" w:eastAsia="zh-CN"/>
        </w:rPr>
      </w:pPr>
      <w:r>
        <w:rPr>
          <w:rFonts w:hint="eastAsia" w:ascii="楷体" w:hAnsi="楷体" w:eastAsia="楷体" w:cs="楷体"/>
          <w:bCs/>
          <w:color w:val="auto"/>
          <w:sz w:val="32"/>
          <w:szCs w:val="32"/>
          <w:highlight w:val="none"/>
          <w:lang w:val="en-US" w:eastAsia="zh-CN"/>
        </w:rPr>
        <w:t>知识产权专项资金序时执行进度较慢</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cs="Times New Roman"/>
          <w:color w:val="auto"/>
          <w:kern w:val="0"/>
          <w:sz w:val="32"/>
          <w:szCs w:val="32"/>
          <w:highlight w:val="none"/>
          <w:lang w:val="en-US" w:eastAsia="zh-CN" w:bidi="ar"/>
        </w:rPr>
        <w:t>知识产权专项资金由市财政局、市市场监管局共同管理，每年11月底前所属地市场监督管理局对提交认定所获奖励和资助的批准文件进行初审，市市场监管局汇总于12月底前报市财政局审核确定奖励方案后下达专项资金。知识产权专项资金序时预算执行进度较慢。</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eastAsia="仿宋_GB2312"/>
          <w:color w:val="FF0000"/>
          <w:highlight w:val="none"/>
          <w:lang w:val="en-US" w:eastAsia="zh-CN"/>
        </w:rPr>
      </w:pPr>
      <w:r>
        <w:rPr>
          <w:rFonts w:hint="default" w:ascii="Times New Roman" w:hAnsi="Times New Roman" w:cs="Times New Roman"/>
          <w:bCs/>
          <w:color w:val="auto"/>
          <w:kern w:val="2"/>
          <w:sz w:val="32"/>
          <w:szCs w:val="32"/>
          <w:highlight w:val="none"/>
        </w:rPr>
        <w:t>原因分析：</w:t>
      </w:r>
      <w:r>
        <w:rPr>
          <w:rFonts w:hint="eastAsia" w:ascii="Times New Roman" w:hAnsi="Times New Roman" w:cs="Times New Roman"/>
          <w:bCs/>
          <w:color w:val="auto"/>
          <w:kern w:val="2"/>
          <w:sz w:val="32"/>
          <w:szCs w:val="32"/>
          <w:highlight w:val="none"/>
          <w:lang w:val="en-US" w:eastAsia="zh-CN"/>
        </w:rPr>
        <w:t>一是国家知识产权局当月发布数据经省局整理分发市州，会有近1个月的延后，二是项目实施单位汇总审核时间集中在每年年底，未按序时合理安排初审时间。</w:t>
      </w:r>
    </w:p>
    <w:p>
      <w:pPr>
        <w:widowControl/>
        <w:numPr>
          <w:ilvl w:val="0"/>
          <w:numId w:val="0"/>
        </w:numPr>
        <w:spacing w:line="600" w:lineRule="exact"/>
        <w:ind w:firstLine="640" w:firstLineChars="200"/>
        <w:jc w:val="left"/>
        <w:rPr>
          <w:rFonts w:ascii="Times New Roman" w:hAnsi="Times New Roman" w:eastAsia="黑体" w:cs="Times New Roman"/>
          <w:sz w:val="32"/>
          <w:szCs w:val="32"/>
        </w:rPr>
      </w:pPr>
      <w:r>
        <w:rPr>
          <w:rFonts w:hint="eastAsia" w:eastAsia="黑体" w:cs="Times New Roman"/>
          <w:sz w:val="32"/>
          <w:szCs w:val="32"/>
          <w:lang w:val="en-US" w:eastAsia="zh-CN"/>
        </w:rPr>
        <w:t>八、</w:t>
      </w:r>
      <w:r>
        <w:rPr>
          <w:rFonts w:ascii="Times New Roman" w:hAnsi="Times New Roman" w:eastAsia="黑体" w:cs="Times New Roman"/>
          <w:sz w:val="32"/>
          <w:szCs w:val="32"/>
        </w:rPr>
        <w:t>下一步改进措施</w:t>
      </w:r>
    </w:p>
    <w:p>
      <w:pPr>
        <w:keepNext w:val="0"/>
        <w:keepLines w:val="0"/>
        <w:pageBreakBefore w:val="0"/>
        <w:kinsoku/>
        <w:overflowPunct/>
        <w:topLinePunct w:val="0"/>
        <w:autoSpaceDN/>
        <w:bidi w:val="0"/>
        <w:adjustRightInd/>
        <w:spacing w:line="560" w:lineRule="exact"/>
        <w:ind w:firstLine="640" w:firstLineChars="200"/>
        <w:textAlignment w:val="auto"/>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lang w:val="en-US" w:eastAsia="zh-CN"/>
        </w:rPr>
        <w:t>科学</w:t>
      </w:r>
      <w:r>
        <w:rPr>
          <w:rFonts w:hint="eastAsia" w:ascii="楷体_GB2312" w:hAnsi="楷体_GB2312" w:eastAsia="楷体_GB2312" w:cs="楷体_GB2312"/>
          <w:bCs/>
          <w:sz w:val="32"/>
          <w:szCs w:val="32"/>
        </w:rPr>
        <w:t>合理编制预算</w:t>
      </w:r>
    </w:p>
    <w:p>
      <w:pPr>
        <w:widowControl/>
        <w:spacing w:line="600" w:lineRule="exact"/>
        <w:ind w:firstLine="645"/>
        <w:jc w:val="left"/>
        <w:rPr>
          <w:rFonts w:hint="eastAsia" w:cs="Times New Roman"/>
          <w:kern w:val="0"/>
          <w:sz w:val="32"/>
          <w:szCs w:val="32"/>
          <w:lang w:val="en-US" w:eastAsia="zh-CN" w:bidi="ar"/>
        </w:rPr>
      </w:pPr>
      <w:r>
        <w:rPr>
          <w:rFonts w:hint="eastAsia" w:cs="Times New Roman"/>
          <w:kern w:val="0"/>
          <w:sz w:val="32"/>
          <w:szCs w:val="32"/>
          <w:lang w:val="en-US" w:eastAsia="zh-CN" w:bidi="ar"/>
        </w:rPr>
        <w:t>在编制年度部门预算时，严格按照政府集中采购目录、分散采购限额标准，结合年度采购需求，科学合理编制政府采购、电子卖场采购预算，做到应编尽编。</w:t>
      </w:r>
    </w:p>
    <w:p>
      <w:pPr>
        <w:keepNext w:val="0"/>
        <w:keepLines w:val="0"/>
        <w:widowControl/>
        <w:suppressLineNumbers w:val="0"/>
        <w:ind w:firstLine="640" w:firstLineChars="200"/>
        <w:jc w:val="left"/>
      </w:pPr>
      <w:r>
        <w:rPr>
          <w:rFonts w:hint="eastAsia" w:ascii="楷体_GB2312" w:hAnsi="楷体_GB2312" w:eastAsia="楷体_GB2312" w:cs="楷体_GB2312"/>
          <w:bCs/>
          <w:sz w:val="32"/>
          <w:szCs w:val="32"/>
          <w:lang w:val="en-US" w:eastAsia="zh-CN"/>
        </w:rPr>
        <w:t>（二）强化绩效目标管理意识，落实花钱问效管理。</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加强预算绩效管理培训，树立责任意识，将绩效目标与预算编制执行充分融合，科学设置符合项目特性的绩效目标，奠定绩效管理的基础。同时，加强绩效运行监控、绩效自评工作，充分运用绩效结果，提升预算绩效管理质量。</w:t>
      </w:r>
    </w:p>
    <w:p>
      <w:pPr>
        <w:keepNext w:val="0"/>
        <w:keepLines w:val="0"/>
        <w:widowControl/>
        <w:suppressLineNumbers w:val="0"/>
        <w:ind w:firstLine="640" w:firstLineChars="200"/>
        <w:jc w:val="left"/>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（三）继续加强预算执行监管，提高资金使用效率</w:t>
      </w:r>
    </w:p>
    <w:p>
      <w:pPr>
        <w:keepNext w:val="0"/>
        <w:keepLines w:val="0"/>
        <w:widowControl/>
        <w:suppressLineNumbers w:val="0"/>
        <w:ind w:firstLine="620" w:firstLineChars="200"/>
        <w:jc w:val="left"/>
        <w:rPr>
          <w:rFonts w:hint="eastAsia" w:ascii="仿宋_GB2312" w:hAnsi="宋体"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加强预算执行管理，严格按照预算、</w:t>
      </w:r>
      <w:r>
        <w:rPr>
          <w:rFonts w:hint="eastAsia" w:ascii="仿宋_GB2312" w:hAnsi="宋体" w:eastAsia="仿宋_GB2312" w:cs="仿宋_GB2312"/>
          <w:color w:val="000000"/>
          <w:kern w:val="0"/>
          <w:sz w:val="31"/>
          <w:szCs w:val="31"/>
          <w:lang w:val="en-US" w:eastAsia="zh-CN" w:bidi="ar"/>
        </w:rPr>
        <w:t>用款计划、项目进度、有关合同和规定程序及时办理资金支付，切实提高资金使用效率。定期开展项目监督检查工作，及时发现存在问题和风险，全面实施预算绩效管理“双监控”工作，使财政资金效益最大化</w:t>
      </w:r>
      <w:r>
        <w:rPr>
          <w:rFonts w:hint="eastAsia" w:ascii="仿宋_GB2312" w:hAnsi="宋体" w:cs="仿宋_GB2312"/>
          <w:color w:val="000000"/>
          <w:kern w:val="0"/>
          <w:sz w:val="31"/>
          <w:szCs w:val="31"/>
          <w:lang w:val="en-US" w:eastAsia="zh-CN" w:bidi="ar"/>
        </w:rPr>
        <w:t>。</w:t>
      </w:r>
    </w:p>
    <w:p>
      <w:pPr>
        <w:keepNext w:val="0"/>
        <w:keepLines w:val="0"/>
        <w:widowControl/>
        <w:suppressLineNumbers w:val="0"/>
        <w:jc w:val="left"/>
        <w:rPr>
          <w:rFonts w:hint="eastAsia" w:ascii="楷体_GB2312" w:hAnsi="楷体_GB2312" w:eastAsia="楷体_GB2312" w:cs="楷体_GB2312"/>
          <w:bCs/>
          <w:color w:val="auto"/>
          <w:sz w:val="32"/>
          <w:szCs w:val="32"/>
          <w:highlight w:val="none"/>
          <w:lang w:val="en-US" w:eastAsia="zh-CN"/>
        </w:rPr>
      </w:pPr>
      <w:r>
        <w:rPr>
          <w:rFonts w:hint="eastAsia" w:ascii="仿宋_GB2312" w:hAnsi="宋体" w:cs="仿宋_GB2312"/>
          <w:color w:val="000000"/>
          <w:kern w:val="0"/>
          <w:sz w:val="31"/>
          <w:szCs w:val="31"/>
          <w:lang w:val="en-US" w:eastAsia="zh-CN" w:bidi="ar"/>
        </w:rPr>
        <w:t xml:space="preserve">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color w:val="auto"/>
          <w:sz w:val="32"/>
          <w:szCs w:val="32"/>
          <w:highlight w:val="none"/>
          <w:lang w:val="en-US" w:eastAsia="zh-CN"/>
        </w:rPr>
        <w:t>（四）针对部分项目情况灵活安排绩效评价工作</w:t>
      </w:r>
    </w:p>
    <w:p>
      <w:pPr>
        <w:keepNext w:val="0"/>
        <w:keepLines w:val="0"/>
        <w:widowControl/>
        <w:suppressLineNumbers w:val="0"/>
        <w:ind w:firstLine="620" w:firstLineChars="200"/>
        <w:jc w:val="left"/>
        <w:rPr>
          <w:rFonts w:hint="default" w:ascii="仿宋_GB2312" w:hAnsi="宋体" w:eastAsia="仿宋_GB2312" w:cs="仿宋_GB2312"/>
          <w:color w:val="auto"/>
          <w:kern w:val="0"/>
          <w:sz w:val="31"/>
          <w:szCs w:val="31"/>
          <w:highlight w:val="none"/>
          <w:lang w:val="en-US" w:eastAsia="zh-CN" w:bidi="ar"/>
        </w:rPr>
      </w:pPr>
      <w:r>
        <w:rPr>
          <w:rFonts w:hint="eastAsia" w:ascii="仿宋_GB2312" w:hAnsi="宋体" w:cs="仿宋_GB2312"/>
          <w:color w:val="auto"/>
          <w:kern w:val="0"/>
          <w:sz w:val="31"/>
          <w:szCs w:val="31"/>
          <w:highlight w:val="none"/>
          <w:lang w:val="en-US" w:eastAsia="zh-CN" w:bidi="ar"/>
        </w:rPr>
        <w:t>如知识产权专项资金受部分项目数据发布</w:t>
      </w:r>
      <w:r>
        <w:rPr>
          <w:rFonts w:hint="eastAsia" w:ascii="Times New Roman" w:hAnsi="Times New Roman" w:cs="Times New Roman"/>
          <w:bCs/>
          <w:color w:val="auto"/>
          <w:kern w:val="2"/>
          <w:sz w:val="32"/>
          <w:szCs w:val="32"/>
          <w:highlight w:val="none"/>
          <w:lang w:val="en-US" w:eastAsia="zh-CN"/>
        </w:rPr>
        <w:t>延后的影响，市市场监督管理局将适时调整申报频次和时间节点，</w:t>
      </w:r>
      <w:r>
        <w:rPr>
          <w:rFonts w:hint="eastAsia" w:ascii="仿宋_GB2312" w:hAnsi="宋体" w:cs="仿宋_GB2312"/>
          <w:color w:val="auto"/>
          <w:kern w:val="0"/>
          <w:sz w:val="31"/>
          <w:szCs w:val="31"/>
          <w:highlight w:val="none"/>
          <w:lang w:val="en-US" w:eastAsia="zh-CN" w:bidi="ar"/>
        </w:rPr>
        <w:t>将原计划的每年一次，调整为一季度申报一次，避免因申报时间跨度大，造成预算执行较慢。</w:t>
      </w:r>
    </w:p>
    <w:p>
      <w:pPr>
        <w:widowControl/>
        <w:spacing w:line="600" w:lineRule="exact"/>
        <w:ind w:firstLine="645"/>
        <w:jc w:val="left"/>
        <w:rPr>
          <w:rFonts w:ascii="Times New Roman" w:hAnsi="Times New Roman" w:eastAsia="黑体" w:cs="Times New Roman"/>
          <w:sz w:val="32"/>
          <w:szCs w:val="32"/>
        </w:rPr>
      </w:pPr>
      <w:r>
        <w:rPr>
          <w:rFonts w:hint="eastAsia" w:eastAsia="黑体" w:cs="Times New Roman"/>
          <w:sz w:val="32"/>
          <w:szCs w:val="32"/>
          <w:lang w:val="en-US" w:eastAsia="zh-CN"/>
        </w:rPr>
        <w:t>九</w:t>
      </w:r>
      <w:r>
        <w:rPr>
          <w:rFonts w:ascii="Times New Roman" w:hAnsi="Times New Roman" w:eastAsia="黑体" w:cs="Times New Roman"/>
          <w:sz w:val="32"/>
          <w:szCs w:val="32"/>
        </w:rPr>
        <w:t>、部门整体支出绩效自评结果拟应用和公开情况</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Times New Roman" w:hAnsi="Times New Roman" w:cs="Times New Roman"/>
          <w:bCs/>
          <w:sz w:val="32"/>
          <w:szCs w:val="32"/>
        </w:rPr>
      </w:pPr>
      <w:r>
        <w:rPr>
          <w:rFonts w:hint="eastAsia" w:cs="Times New Roman"/>
          <w:bCs/>
          <w:sz w:val="32"/>
          <w:szCs w:val="32"/>
          <w:lang w:val="en-US" w:eastAsia="zh-CN"/>
        </w:rPr>
        <w:t>我单位</w:t>
      </w:r>
      <w:r>
        <w:rPr>
          <w:rFonts w:hint="default" w:ascii="Times New Roman" w:hAnsi="Times New Roman" w:cs="Times New Roman"/>
          <w:bCs/>
          <w:sz w:val="32"/>
          <w:szCs w:val="32"/>
        </w:rPr>
        <w:t>对202</w:t>
      </w:r>
      <w:r>
        <w:rPr>
          <w:rFonts w:hint="eastAsia" w:cs="Times New Roman"/>
          <w:bCs/>
          <w:sz w:val="32"/>
          <w:szCs w:val="32"/>
          <w:lang w:val="en-US" w:eastAsia="zh-CN"/>
        </w:rPr>
        <w:t>1</w:t>
      </w:r>
      <w:r>
        <w:rPr>
          <w:rFonts w:hint="default" w:ascii="Times New Roman" w:hAnsi="Times New Roman" w:cs="Times New Roman"/>
          <w:bCs/>
          <w:sz w:val="32"/>
          <w:szCs w:val="32"/>
        </w:rPr>
        <w:t>年部门整体支出进行绩效自评，自评得</w:t>
      </w:r>
      <w:r>
        <w:rPr>
          <w:rFonts w:hint="eastAsia" w:cs="Times New Roman"/>
          <w:bCs/>
          <w:sz w:val="32"/>
          <w:szCs w:val="32"/>
          <w:lang w:val="en-US" w:eastAsia="zh-CN"/>
        </w:rPr>
        <w:t>94.39</w:t>
      </w:r>
      <w:r>
        <w:rPr>
          <w:rFonts w:hint="default" w:ascii="Times New Roman" w:hAnsi="Times New Roman" w:cs="Times New Roman"/>
          <w:bCs/>
          <w:sz w:val="32"/>
          <w:szCs w:val="32"/>
        </w:rPr>
        <w:t>分，绩效自评等级为“优”。</w:t>
      </w:r>
    </w:p>
    <w:p>
      <w:pPr>
        <w:keepNext w:val="0"/>
        <w:keepLines w:val="0"/>
        <w:pageBreakBefore w:val="0"/>
        <w:kinsoku/>
        <w:overflowPunct/>
        <w:topLinePunct w:val="0"/>
        <w:autoSpaceDN/>
        <w:bidi w:val="0"/>
        <w:adjustRightInd/>
        <w:spacing w:line="560" w:lineRule="exact"/>
        <w:ind w:firstLine="640" w:firstLineChars="200"/>
        <w:textAlignment w:val="auto"/>
        <w:rPr>
          <w:rFonts w:hint="default" w:ascii="仿宋_GB2312" w:cs="仿宋_GB2312"/>
          <w:i w:val="0"/>
          <w:iCs w:val="0"/>
          <w:caps w:val="0"/>
          <w:color w:val="333333"/>
          <w:spacing w:val="0"/>
          <w:kern w:val="0"/>
          <w:sz w:val="32"/>
          <w:szCs w:val="32"/>
          <w:shd w:val="clear" w:color="auto" w:fill="FFFFFF"/>
          <w:lang w:val="en-US" w:eastAsia="zh-CN" w:bidi="ar"/>
        </w:rPr>
      </w:pPr>
      <w:r>
        <w:rPr>
          <w:rFonts w:hint="eastAsia" w:ascii="仿宋_GB2312" w:cs="仿宋_GB2312"/>
          <w:i w:val="0"/>
          <w:iCs w:val="0"/>
          <w:caps w:val="0"/>
          <w:color w:val="333333"/>
          <w:spacing w:val="0"/>
          <w:kern w:val="0"/>
          <w:sz w:val="32"/>
          <w:szCs w:val="32"/>
          <w:shd w:val="clear" w:color="auto" w:fill="FFFFFF"/>
          <w:lang w:val="en-US" w:eastAsia="zh-CN" w:bidi="ar"/>
        </w:rPr>
        <w:t>我单位将依据2021年度绩效自评结果，进一步加强财政预算资金的管理，规范财政资金的支出，实现财政资金使用效益最大化。同时，将按照市财政部门统一部署，在规定时限内在局门户网站对2021年部门整体支出绩效自评报告进行公开，自觉接受社会公众监督。</w:t>
      </w:r>
    </w:p>
    <w:p>
      <w:pPr>
        <w:widowControl/>
        <w:spacing w:line="600" w:lineRule="exact"/>
        <w:ind w:firstLine="645"/>
        <w:jc w:val="left"/>
        <w:rPr>
          <w:rFonts w:ascii="Times New Roman" w:hAnsi="Times New Roman" w:eastAsia="黑体" w:cs="Times New Roman"/>
          <w:sz w:val="32"/>
          <w:szCs w:val="32"/>
        </w:rPr>
      </w:pPr>
      <w:r>
        <w:rPr>
          <w:rFonts w:hint="eastAsia" w:eastAsia="黑体" w:cs="Times New Roman"/>
          <w:sz w:val="32"/>
          <w:szCs w:val="32"/>
          <w:lang w:val="en-US" w:eastAsia="zh-CN"/>
        </w:rPr>
        <w:t>十</w:t>
      </w:r>
      <w:r>
        <w:rPr>
          <w:rFonts w:hint="eastAsia" w:eastAsia="黑体" w:cs="Times New Roman"/>
          <w:sz w:val="32"/>
          <w:szCs w:val="32"/>
          <w:lang w:eastAsia="zh-CN"/>
        </w:rPr>
        <w:t>、</w:t>
      </w:r>
      <w:r>
        <w:rPr>
          <w:rFonts w:ascii="Times New Roman" w:hAnsi="Times New Roman" w:eastAsia="黑体" w:cs="Times New Roman"/>
          <w:sz w:val="32"/>
          <w:szCs w:val="32"/>
        </w:rPr>
        <w:t>其他需要说明的情况</w:t>
      </w:r>
    </w:p>
    <w:p>
      <w:pPr>
        <w:widowControl/>
        <w:spacing w:line="600" w:lineRule="exact"/>
        <w:ind w:firstLine="645"/>
        <w:jc w:val="left"/>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无。</w:t>
      </w:r>
    </w:p>
    <w:p>
      <w:pPr>
        <w:pStyle w:val="2"/>
      </w:pPr>
    </w:p>
    <w:p>
      <w:pPr>
        <w:widowControl/>
        <w:spacing w:line="600" w:lineRule="exact"/>
        <w:ind w:firstLine="645"/>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报告附件：</w:t>
      </w:r>
    </w:p>
    <w:p>
      <w:pPr>
        <w:widowControl/>
        <w:spacing w:line="600" w:lineRule="exact"/>
        <w:ind w:firstLine="645"/>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val="0"/>
          <w:i w:val="0"/>
          <w:color w:val="000000"/>
          <w:sz w:val="32"/>
          <w:szCs w:val="32"/>
          <w:lang w:val="en-US" w:eastAsia="zh-CN"/>
        </w:rPr>
        <w:t>1</w:t>
      </w:r>
      <w:r>
        <w:rPr>
          <w:rFonts w:hint="default" w:ascii="Times New Roman" w:hAnsi="Times New Roman" w:eastAsia="仿宋" w:cs="Times New Roman"/>
          <w:color w:val="000000"/>
          <w:sz w:val="32"/>
          <w:szCs w:val="32"/>
          <w:lang w:val="en-US" w:eastAsia="zh-CN"/>
        </w:rPr>
        <w:t>.部门整体支出绩效评价基础数据表</w:t>
      </w:r>
    </w:p>
    <w:p>
      <w:pPr>
        <w:widowControl/>
        <w:spacing w:line="600" w:lineRule="exact"/>
        <w:ind w:firstLine="645"/>
        <w:jc w:val="lef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val="0"/>
          <w:i w:val="0"/>
          <w:color w:val="000000"/>
          <w:sz w:val="32"/>
          <w:szCs w:val="32"/>
          <w:lang w:val="en-US" w:eastAsia="zh-CN"/>
        </w:rPr>
        <w:t>2</w:t>
      </w:r>
      <w:r>
        <w:rPr>
          <w:rFonts w:hint="default" w:ascii="Times New Roman" w:hAnsi="Times New Roman" w:eastAsia="仿宋" w:cs="Times New Roman"/>
          <w:color w:val="000000"/>
          <w:sz w:val="32"/>
          <w:szCs w:val="32"/>
          <w:lang w:val="en-US" w:eastAsia="zh-CN"/>
        </w:rPr>
        <w:t>.部门整体支出绩效自评表</w:t>
      </w:r>
    </w:p>
    <w:p>
      <w:pPr>
        <w:widowControl/>
        <w:spacing w:line="600" w:lineRule="exact"/>
        <w:ind w:firstLine="645"/>
        <w:jc w:val="left"/>
      </w:pPr>
      <w:r>
        <w:rPr>
          <w:rFonts w:hint="default" w:ascii="Times New Roman" w:hAnsi="Times New Roman" w:eastAsia="仿宋" w:cs="Times New Roman"/>
          <w:b w:val="0"/>
          <w:i w:val="0"/>
          <w:color w:val="000000"/>
          <w:sz w:val="32"/>
          <w:szCs w:val="32"/>
          <w:lang w:val="en-US" w:eastAsia="zh-CN"/>
        </w:rPr>
        <w:t>3</w:t>
      </w:r>
      <w:r>
        <w:rPr>
          <w:rFonts w:hint="default" w:ascii="Times New Roman" w:hAnsi="Times New Roman" w:eastAsia="仿宋" w:cs="Times New Roman"/>
          <w:color w:val="000000"/>
          <w:sz w:val="32"/>
          <w:szCs w:val="32"/>
          <w:lang w:val="en-US" w:eastAsia="zh-CN"/>
        </w:rPr>
        <w:t>.2021年度项目支出绩效自评表（</w:t>
      </w:r>
      <w:r>
        <w:rPr>
          <w:rFonts w:hint="eastAsia" w:eastAsia="仿宋" w:cs="Times New Roman"/>
          <w:color w:val="000000"/>
          <w:sz w:val="32"/>
          <w:szCs w:val="32"/>
          <w:lang w:val="en-US" w:eastAsia="zh-CN"/>
        </w:rPr>
        <w:t>3-1</w:t>
      </w:r>
      <w:r>
        <w:rPr>
          <w:rFonts w:hint="default" w:ascii="Times New Roman" w:hAnsi="Times New Roman" w:eastAsia="仿宋" w:cs="Times New Roman"/>
          <w:color w:val="000000"/>
          <w:sz w:val="32"/>
          <w:szCs w:val="32"/>
          <w:lang w:val="en-US" w:eastAsia="zh-CN"/>
        </w:rPr>
        <w:t>抽检专项</w:t>
      </w:r>
      <w:r>
        <w:rPr>
          <w:rFonts w:hint="eastAsia" w:eastAsia="仿宋" w:cs="Times New Roman"/>
          <w:color w:val="000000"/>
          <w:sz w:val="32"/>
          <w:szCs w:val="32"/>
          <w:lang w:val="en-US" w:eastAsia="zh-CN"/>
        </w:rPr>
        <w:t>、3-2创城专项、3-3知识产权专项、3-4其他运转项目</w:t>
      </w:r>
      <w:r>
        <w:rPr>
          <w:rFonts w:hint="default" w:ascii="Times New Roman" w:hAnsi="Times New Roman" w:eastAsia="仿宋" w:cs="Times New Roman"/>
          <w:color w:val="000000"/>
          <w:sz w:val="32"/>
          <w:szCs w:val="32"/>
          <w:lang w:val="en-US" w:eastAsia="zh-CN"/>
        </w:rPr>
        <w:t>）</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bookmarkStart w:id="1" w:name="_GoBack"/>
      <w:bookmarkEnd w:id="1"/>
    </w:p>
    <w:p>
      <w:pPr>
        <w:rPr>
          <w:rFonts w:hint="eastAsia"/>
          <w:lang w:val="en-US" w:eastAsia="zh-CN"/>
        </w:rPr>
      </w:pPr>
      <w:r>
        <w:rPr>
          <w:rFonts w:hint="eastAsia"/>
          <w:lang w:val="en-US" w:eastAsia="zh-CN"/>
        </w:rPr>
        <w:br w:type="page"/>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944"/>
        <w:gridCol w:w="947"/>
        <w:gridCol w:w="945"/>
        <w:gridCol w:w="945"/>
        <w:gridCol w:w="945"/>
        <w:gridCol w:w="951"/>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34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附件1</w:t>
            </w:r>
          </w:p>
        </w:tc>
        <w:tc>
          <w:tcPr>
            <w:tcW w:w="52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77"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部门整体支出绩效评价基础数据表</w:t>
            </w:r>
          </w:p>
        </w:tc>
        <w:tc>
          <w:tcPr>
            <w:tcW w:w="52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386" w:type="pct"/>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填报单位：常德市市场监管局（系统）</w:t>
            </w:r>
            <w:r>
              <w:rPr>
                <w:rStyle w:val="22"/>
                <w:rFonts w:eastAsia="宋体"/>
                <w:lang w:val="en-US" w:eastAsia="zh-CN" w:bidi="ar"/>
              </w:rPr>
              <w:t xml:space="preserve"> </w:t>
            </w: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46"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2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财政供养人员情况</w:t>
            </w:r>
          </w:p>
        </w:tc>
        <w:tc>
          <w:tcPr>
            <w:tcW w:w="10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编制数</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2021年实际</w:t>
            </w:r>
          </w:p>
        </w:tc>
        <w:tc>
          <w:tcPr>
            <w:tcW w:w="10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在职人数</w:t>
            </w:r>
          </w:p>
        </w:tc>
        <w:tc>
          <w:tcPr>
            <w:tcW w:w="10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397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90.23%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经费控制情况</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2020年决算数</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2021年预算数</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2021年决算数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三公经费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1,694,942.02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1,695,000.00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1,586,124.62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1.公务用车购置和维护经费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1,365,057.02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1,255,000.00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1,367,407.62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3"/>
                <w:lang w:val="en-US" w:eastAsia="zh-CN" w:bidi="ar"/>
              </w:rPr>
              <w:t>其中：公车购置</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500,000.00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450,000.00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589,191.65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公车运行维护</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865,057.02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805,000.00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778,215.97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2.出国经费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3.公务接待</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329,885.00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440,000.00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218,717.00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76,887,238.88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36,018,900.00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54,241,637.29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1.特定目标类项目支出</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34,646,604.59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23,981,400.00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42,794,189.54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2.其他运行类项目支出</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42,240,634.29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12,037,500.00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11,447,447.75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15,220,384.01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14,734,000.00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14,648,070.64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其中：1.办公经费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14,079,073.28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13,319,000.00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13,539,308.96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2.水费、电费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792,845.23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756,000.00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761,740.77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3.差旅费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317,920.50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446,000.00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328,316.91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4.会议费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22,219.00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103,000.00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8,814.00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5.培训费</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8,326.00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110,000.00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9,890.00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23"/>
                <w:lang w:val="en-US" w:eastAsia="zh-CN" w:bidi="ar"/>
              </w:rPr>
              <w:t>……</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政府采购金额</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52,061,742.65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11,083,000.00 </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26,671,038.75 </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部门整体支出预算调整</w:t>
            </w:r>
            <w:r>
              <w:rPr>
                <w:rStyle w:val="23"/>
                <w:lang w:val="en-US" w:eastAsia="zh-CN" w:bidi="ar"/>
              </w:rPr>
              <w:t xml:space="preserve"> </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0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楼堂馆所控制情况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（2021年完工项目）</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批复规模（㎡）</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实际规模（</w:t>
            </w:r>
            <w:r>
              <w:rPr>
                <w:rStyle w:val="23"/>
                <w:lang w:val="en-US" w:eastAsia="zh-CN" w:bidi="ar"/>
              </w:rPr>
              <w:t>㎡）</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规模控制率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预算投资（万元）</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实际投资（万元）</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投资概算控制率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厉行节约保障措施</w:t>
            </w:r>
          </w:p>
        </w:tc>
        <w:tc>
          <w:tcPr>
            <w:tcW w:w="31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严格执行省、市关于支出管理文件及本单位《财务管理办法》等制度。</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477" w:type="pct"/>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说明：“项目支出”需要填报除专项资金和基本支出以外的所有项目情况，包括业务工作项目、运行维护项目等；“公用经费”填报基本支出中的一般商品和服务支出。</w:t>
            </w:r>
          </w:p>
        </w:tc>
        <w:tc>
          <w:tcPr>
            <w:tcW w:w="52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填表人：杜承霖     填报日期：2022年6月15日     联系电话：7785486      单位负责人：王苠睿</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616"/>
        <w:gridCol w:w="616"/>
        <w:gridCol w:w="859"/>
        <w:gridCol w:w="1316"/>
        <w:gridCol w:w="1119"/>
        <w:gridCol w:w="1139"/>
        <w:gridCol w:w="632"/>
        <w:gridCol w:w="771"/>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附件2</w:t>
            </w:r>
          </w:p>
        </w:tc>
        <w:tc>
          <w:tcPr>
            <w:tcW w:w="3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4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7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2021</w:t>
            </w:r>
            <w:r>
              <w:rPr>
                <w:rStyle w:val="24"/>
                <w:lang w:val="en-US" w:eastAsia="zh-CN" w:bidi="ar"/>
              </w:rPr>
              <w:t>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预算单位名  称</w:t>
            </w:r>
          </w:p>
        </w:tc>
        <w:tc>
          <w:tcPr>
            <w:tcW w:w="457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年度预算申请（万元）</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上年结转</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全年预算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全年执行数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执行率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年度资金总额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2096.72</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11898.23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17103.28</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16065.09</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93.93%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按收入性质分：                                </w:t>
            </w:r>
            <w:r>
              <w:rPr>
                <w:rStyle w:val="25"/>
                <w:rFonts w:eastAsia="仿宋"/>
                <w:lang w:val="en-US" w:eastAsia="zh-CN" w:bidi="ar"/>
              </w:rPr>
              <w:t>17103.28</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按支出性质分：                    </w:t>
            </w:r>
            <w:r>
              <w:rPr>
                <w:rStyle w:val="25"/>
                <w:rFonts w:eastAsia="仿宋"/>
                <w:lang w:val="en-US" w:eastAsia="zh-CN" w:bidi="ar"/>
              </w:rPr>
              <w:t>16065.09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26"/>
                <w:lang w:val="en-US" w:eastAsia="zh-CN" w:bidi="ar"/>
              </w:rPr>
              <w:t>其中：</w:t>
            </w:r>
            <w:r>
              <w:rPr>
                <w:rStyle w:val="27"/>
                <w:rFonts w:eastAsia="宋体"/>
                <w:lang w:val="en-US" w:eastAsia="zh-CN" w:bidi="ar"/>
              </w:rPr>
              <w:t xml:space="preserve">  </w:t>
            </w:r>
            <w:r>
              <w:rPr>
                <w:rStyle w:val="26"/>
                <w:lang w:val="en-US" w:eastAsia="zh-CN" w:bidi="ar"/>
              </w:rPr>
              <w:t>一般公共预算：</w:t>
            </w:r>
            <w:r>
              <w:rPr>
                <w:rStyle w:val="27"/>
                <w:rFonts w:eastAsia="宋体"/>
                <w:lang w:val="en-US" w:eastAsia="zh-CN" w:bidi="ar"/>
              </w:rPr>
              <w:t xml:space="preserve">                                                16064.11</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其中：基本支出：                   </w:t>
            </w:r>
            <w:r>
              <w:rPr>
                <w:rStyle w:val="25"/>
                <w:rFonts w:eastAsia="仿宋"/>
                <w:lang w:val="en-US" w:eastAsia="zh-CN" w:bidi="ar"/>
              </w:rPr>
              <w:t>10640.93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4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政府性基金拨款：</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项目支出：                  </w:t>
            </w:r>
            <w:r>
              <w:rPr>
                <w:rStyle w:val="25"/>
                <w:rFonts w:eastAsia="仿宋"/>
                <w:lang w:val="en-US" w:eastAsia="zh-CN" w:bidi="ar"/>
              </w:rPr>
              <w:t>5424.16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纳入专户管理的非税收入拨款：</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7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其他资金：                  </w:t>
            </w:r>
            <w:r>
              <w:rPr>
                <w:rStyle w:val="25"/>
                <w:rFonts w:eastAsia="仿宋"/>
                <w:lang w:val="en-US" w:eastAsia="zh-CN" w:bidi="ar"/>
              </w:rPr>
              <w:t xml:space="preserve"> 1039.17</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年度总体目标</w:t>
            </w: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预期目标</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守牢市场安全基本底线。严格落实“四个最严”，牢固树立市场监管安全至上的理念。确保全市范围内重大食品药品、产商品、特种设备安全事故发生率为0。（二）争取真抓实干激励表彰。在商事制度改革、质量发展、食品安全和知识产权工作等方面，获得1-2项省政府或国务院真抓实干激励表彰。（三）推动三大产业加速发展。（四）维护市场公平竞争秩序。全面推行信用监管。全面落实公平竞争审查制度，加强反垄断执法，查处民生领域垄断案件，加大制止滥用行政权力排除、限制竞争力执法力度。强化网络监管，规范网络商品和服务经营者行为。畅通12315热线平台，提升消费维权效能。（五）完善常德市基本公共服务标准体系，编制完成160项常德基本公共服务标准并组织实施，组织专家对试点工作进行预验收。（六）落实各项中心工作任务。贯彻落实习近平总书记考察湖南重要讲话精神，认真对照打造“三个高地”，担当“四新”使命，落实五项重点任务，按照中央和省市委决策部署要求，完成常态化疫情防控、“长江禁捕打非断链”、生态环境治理、乡村振兴、“十四五”市场监管规划编制等各项中心工作任务。</w:t>
            </w:r>
          </w:p>
        </w:tc>
        <w:tc>
          <w:tcPr>
            <w:tcW w:w="2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聚焦市场安全，增强群众权益防护力。全市没有发生重大食品、药品、产商品和特种设备安全事故。（二）争先创优出成效，2021年度获得国家级、省级荣誉16项，其中包含国务院和省政府真抓实干督查激励、全国知识产权系统先进集体、全国“小个专”党建工作表现突出集体等荣誉。（三）聚焦三大产业发展，提振实体经济原动力。（四）聚焦市场秩序，提高市场环境免疫力。2021年，我局办理行政处罚案件97件，其中6件分别被最高人民检察院、国家市场监督管理总局、省市场监督管理局、省司法厅、市司法局评为优秀案卷或典型案例。投诉举报录入《全国12315平台》35483件，已办结34547件，办结率为97.36%，为消费者挽回经济损失754.37万元。（五）聚焦品牌质量，发挥市场主体硬实力。我市成为全国首批推进国家基本公共服务标准化综合试点的三个城市之一，颁布了《常德市基本公共服务标准体系及标准》《常德市基本公共服务标准体系实施方案》，涵盖国家标准135项、行业标准76项、地方标准17项、自编标准174项、共计402项，其中自编标准包含基本公共服务基础标准5项、事项标准154项和评价标准15项，均已编制完成。（六）较好落实各项中心工作任务。推进平安市场、长江禁捕、交通问题顽瘴痼疾集中整治等工作。并荣获全市“先进基层党组织”，食品安全工作考核、建议提案办理工作、督查工作、市金融生态建设工作、人防建设等优秀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绩效指标</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产出指标（50分）</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数量指标（30分）</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创建省级示范验收区县市个数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2个（鼎城区、武陵区）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启动省级示范创建工作区县市个数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6个（石门、桃源、汉寿、临澧、澧县、津市）</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开展食品安全专项督查</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化妆品、药品、医疗器械监督抽检</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化妆品</w:t>
            </w:r>
            <w:r>
              <w:rPr>
                <w:rStyle w:val="28"/>
                <w:lang w:val="en-US" w:eastAsia="zh-CN" w:bidi="ar"/>
              </w:rPr>
              <w:t>20</w:t>
            </w:r>
            <w:r>
              <w:rPr>
                <w:rFonts w:hint="eastAsia" w:ascii="仿宋" w:hAnsi="仿宋" w:eastAsia="仿宋" w:cs="仿宋"/>
                <w:i w:val="0"/>
                <w:iCs w:val="0"/>
                <w:color w:val="000000"/>
                <w:kern w:val="0"/>
                <w:sz w:val="18"/>
                <w:szCs w:val="18"/>
                <w:u w:val="none"/>
                <w:lang w:val="en-US" w:eastAsia="zh-CN" w:bidi="ar"/>
              </w:rPr>
              <w:t>批次、药品</w:t>
            </w:r>
            <w:r>
              <w:rPr>
                <w:rStyle w:val="28"/>
                <w:lang w:val="en-US" w:eastAsia="zh-CN" w:bidi="ar"/>
              </w:rPr>
              <w:t>120</w:t>
            </w:r>
            <w:r>
              <w:rPr>
                <w:rFonts w:hint="eastAsia" w:ascii="仿宋" w:hAnsi="仿宋" w:eastAsia="仿宋" w:cs="仿宋"/>
                <w:i w:val="0"/>
                <w:iCs w:val="0"/>
                <w:color w:val="000000"/>
                <w:kern w:val="0"/>
                <w:sz w:val="18"/>
                <w:szCs w:val="18"/>
                <w:u w:val="none"/>
                <w:lang w:val="en-US" w:eastAsia="zh-CN" w:bidi="ar"/>
              </w:rPr>
              <w:t>批次、医疗器械</w:t>
            </w:r>
            <w:r>
              <w:rPr>
                <w:rStyle w:val="28"/>
                <w:lang w:val="en-US" w:eastAsia="zh-CN" w:bidi="ar"/>
              </w:rPr>
              <w:t>13</w:t>
            </w:r>
            <w:r>
              <w:rPr>
                <w:rFonts w:hint="eastAsia" w:ascii="仿宋" w:hAnsi="仿宋" w:eastAsia="仿宋" w:cs="仿宋"/>
                <w:i w:val="0"/>
                <w:iCs w:val="0"/>
                <w:color w:val="000000"/>
                <w:kern w:val="0"/>
                <w:sz w:val="18"/>
                <w:szCs w:val="18"/>
                <w:u w:val="none"/>
                <w:lang w:val="en-US" w:eastAsia="zh-CN" w:bidi="ar"/>
              </w:rPr>
              <w:t>批次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≥153批次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153批次（化妆品20批次、药品120批次、医疗器械13批次）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完成市本级食品安全监督抽检批次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≥14948批次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16085批次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出具食品检测报告</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≥14948份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16085份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重点行业、企业质量诊断数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品牌常德</w:t>
            </w:r>
            <w:r>
              <w:rPr>
                <w:rStyle w:val="28"/>
                <w:lang w:val="en-US" w:eastAsia="zh-CN" w:bidi="ar"/>
              </w:rPr>
              <w:t xml:space="preserve"> </w:t>
            </w:r>
            <w:r>
              <w:rPr>
                <w:rFonts w:hint="eastAsia" w:ascii="仿宋" w:hAnsi="仿宋" w:eastAsia="仿宋" w:cs="仿宋"/>
                <w:i w:val="0"/>
                <w:iCs w:val="0"/>
                <w:color w:val="000000"/>
                <w:kern w:val="0"/>
                <w:sz w:val="18"/>
                <w:szCs w:val="18"/>
                <w:u w:val="none"/>
                <w:lang w:val="en-US" w:eastAsia="zh-CN" w:bidi="ar"/>
              </w:rPr>
              <w:t>品质消费</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活动次数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创城宣传</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制作创城视频、音频期数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6期</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创城宣传</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在中国市场监管报等媒体宣传发布条数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创城工作-印制毒蘑菇、创建知识等读本份数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≧10万份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11万份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资助发明专利件数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787件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商标和地理标志产品资助个数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预计资助质押融资补贴笔数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30笔</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预计奖补示范、优势单位个数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国家知识产权局未开展知识产权优势示范企业评选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每万人发明专利拥有量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4.76件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食品安全事故应急演练次数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食品安全专项整治次数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制定《常德市市场监督管理局放心消费创建工作实旅方案》</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制定《常德市市场主体和规上企业双倍增三年行动计划实施方案</w:t>
            </w:r>
            <w:r>
              <w:rPr>
                <w:rStyle w:val="28"/>
                <w:lang w:val="en-US" w:eastAsia="zh-CN" w:bidi="ar"/>
              </w:rPr>
              <w:t>(2021-2023</w:t>
            </w:r>
            <w:r>
              <w:rPr>
                <w:rFonts w:hint="eastAsia" w:ascii="仿宋" w:hAnsi="仿宋" w:eastAsia="仿宋" w:cs="仿宋"/>
                <w:i w:val="0"/>
                <w:iCs w:val="0"/>
                <w:color w:val="000000"/>
                <w:kern w:val="0"/>
                <w:sz w:val="18"/>
                <w:szCs w:val="18"/>
                <w:u w:val="none"/>
                <w:lang w:val="en-US" w:eastAsia="zh-CN" w:bidi="ar"/>
              </w:rPr>
              <w:t>年</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》的细化措施</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全市市场主体数量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38万户（可能受外部环境等影响，最终按实际数确定）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38.47万户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建立公平竞争审查工作联席会议制度</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全市全面推行</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证照分离</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改革</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全市全面推行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全市全面推行</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全年完成强检计量器具总量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≥7.1万台（件）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8.5万台（件）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完成经营性精干麻公检批次</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≥30批次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55批次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开展工业产品监督抽样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≥500批次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602批次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编制完成常德基本公共服务标准数量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174项（其中基本公共服务基础标准5项、事项标准154项和评价标准15项）</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各项抽检完成率、不合格产品查处率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重点行业、企业（10家）质量诊断完成率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消费品质量合格率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群众知晓创城工作</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资助精准率-通过市、县两级知识产权部门及财政部门共同对申报资料进行严格把关，确保资助不漏领、不冒领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全市发明专利授权量同比增长率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无法统计</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国家知识产权局于2021年初停止发布该项数据.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食品安全事故应急演练完成率</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确保全市范围内不发生特种设备安全事故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确保全市范围内不发生重大食品药品、产商品安全事故</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标准化试点工作专家预验收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预验收合格率100%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认真履行绩效评估责任部门主体责任，按要求抓好所负责内容的评估工作</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认真履行主管部门职责，按要求组织好部门管理单位绩效评估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认真履行</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时效指标（5分）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各项工作完成时间</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2021-12-31前</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2021-12-31前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成本指标（5分）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基本支出</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市本级预算基本支出成本控制金额</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≦8296.34万元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15883.41万元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单位综治考核奖及单位文明奖等上浮增发部分和薪级调整等未纳入年初预算.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项目支出-市本级预算项目支出成本控制金额</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≦3601.89万元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5242.48万元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市级追加及中央及省级转移支出项目.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效益指标（30分）</w:t>
            </w: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生物医药产业发展</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实现生物医药产业产值</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≥260亿元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260亿元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生物医药产业发展</w:t>
            </w:r>
            <w:r>
              <w:rPr>
                <w:rStyle w:val="28"/>
                <w:lang w:val="en-US" w:eastAsia="zh-CN" w:bidi="ar"/>
              </w:rPr>
              <w:t>-</w:t>
            </w:r>
            <w:r>
              <w:rPr>
                <w:rFonts w:hint="eastAsia" w:ascii="仿宋" w:hAnsi="仿宋" w:eastAsia="仿宋" w:cs="仿宋"/>
                <w:i w:val="0"/>
                <w:iCs w:val="0"/>
                <w:color w:val="000000"/>
                <w:kern w:val="0"/>
                <w:sz w:val="18"/>
                <w:szCs w:val="18"/>
                <w:u w:val="none"/>
                <w:lang w:val="en-US" w:eastAsia="zh-CN" w:bidi="ar"/>
              </w:rPr>
              <w:t>实现税收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≥10亿元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10亿</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全年质押融资总量</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达1亿元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2.28亿元</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食品、药品等安全-百姓用药安全指数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食品、药品产业发展-社会就业机会</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产品市场竞争力</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知识产权工作对社会的积极影响</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促进社会创新和社会进步</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促进社会创新和社会进步</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群众维权意识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市场监管是一项长期性的工作</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项目可持续</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项目可持续</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加大市场监管执法力度，健全“行纪刑”衔接机制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不断加强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不断加强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满意度指标（10分）</w:t>
            </w:r>
          </w:p>
        </w:tc>
        <w:tc>
          <w:tcPr>
            <w:tcW w:w="8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公众对市场监管满意度</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政府质量工作满意度-按政府质量工作满意调查结果核算</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不低于全省平均分值</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A类第2名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94.39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填表人：杜承霖  填报日期：2022年6月30日  联系电话：18007369727  单位负责人签字：王苠睿</w:t>
            </w:r>
          </w:p>
        </w:tc>
      </w:tr>
    </w:tbl>
    <w:p>
      <w:pPr>
        <w:pStyle w:val="2"/>
        <w:rPr>
          <w:rFonts w:hint="eastAsia"/>
          <w:lang w:val="en-US" w:eastAsia="zh-CN"/>
        </w:rPr>
      </w:pPr>
    </w:p>
    <w:p>
      <w:pPr>
        <w:rPr>
          <w:rFonts w:hint="eastAsia"/>
          <w:lang w:val="en-US" w:eastAsia="zh-CN"/>
        </w:rPr>
      </w:pPr>
      <w:r>
        <w:rPr>
          <w:rFonts w:hint="eastAsia"/>
          <w:lang w:val="en-US" w:eastAsia="zh-CN"/>
        </w:rPr>
        <w:br w:type="page"/>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644"/>
        <w:gridCol w:w="646"/>
        <w:gridCol w:w="766"/>
        <w:gridCol w:w="1251"/>
        <w:gridCol w:w="866"/>
        <w:gridCol w:w="866"/>
        <w:gridCol w:w="516"/>
        <w:gridCol w:w="833"/>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附件3-1</w:t>
            </w: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5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2021</w:t>
            </w:r>
            <w:r>
              <w:rPr>
                <w:rFonts w:ascii="方正小标宋_GBK" w:hAnsi="方正小标宋_GBK" w:eastAsia="方正小标宋_GBK" w:cs="方正小标宋_GBK"/>
                <w:i w:val="0"/>
                <w:iCs w:val="0"/>
                <w:color w:val="000000"/>
                <w:kern w:val="0"/>
                <w:sz w:val="36"/>
                <w:szCs w:val="36"/>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10"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 xml:space="preserve"> </w:t>
            </w: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0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0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5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5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主管部门</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w:t>
            </w:r>
          </w:p>
        </w:tc>
        <w:tc>
          <w:tcPr>
            <w:tcW w:w="1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项目资金（万元）</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上年结转</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全年预算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执行率</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年度资金总额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176.65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1698.14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1874.79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1785.65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其中：当年财政拨款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176.65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1698.14</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1874.79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1786.65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年度总体目标</w:t>
            </w: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预期目标</w:t>
            </w:r>
          </w:p>
        </w:tc>
        <w:tc>
          <w:tcPr>
            <w:tcW w:w="22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3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目标一：2021年计划不低于每千人4批次的标准完成本级食品抽检监测数量，合计完成抽检不低于12998批次；定性检测不低于1950批次；出具食品检测报告14948份；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目标二：食品宣传及工作技能培训次数、业务培训次数≥19批次；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目标三：重大食品安全事故及重大药害群体事故发生数0起；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目标四：完成药品抽检检验批次120批次，食品检验所完成部分食品及食用农产品、食品添加剂检测材料采购25次；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目标五：食品抽检中废气、废水、废渣处理数量≥500kg；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目标六：药品抽检中废气、废水、废渣处理数量≥700L；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目标七：食品检验所设备维修检验次数≧30次；</w:t>
            </w:r>
          </w:p>
        </w:tc>
        <w:tc>
          <w:tcPr>
            <w:tcW w:w="22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目标一：</w:t>
            </w:r>
            <w:r>
              <w:rPr>
                <w:rStyle w:val="29"/>
                <w:lang w:val="en-US" w:eastAsia="zh-CN" w:bidi="ar"/>
              </w:rPr>
              <w:t>2021年完成本级食品抽检16085批次，其中完成定性检测1950批次，定量  14135批次；出具食品检测报告16085份；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目标二：食品宣传及工作技能培训次数、业务培训次数17批次；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目标三：重大食品安全事故及重大药害群体事故发生数0起；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目标四：完成药品抽检检验批次95批次，食品检验所完成部分食品及食用农产品、食品添加剂检测材料采购25次；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目标五：食品抽检中废气、废水、废渣处理数量500kg；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目标六：药品抽检中废气、废水、废渣处理数量700L；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目标七：食品检验所设备维修检验次数30次；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绩效指标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实际完成值</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产出指标（50分）</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数量指标（30分）</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市本级食品安全监督抽检专项：市发改委（市粮食和物资储备局）完成批次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市本级食品安全监督抽检专项：市农业农村局（含定性抽检650批次）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2633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市本级食品安全监督抽检专项：市卫生健康委</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1222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市本级食品安全监督抽检专项：（含二级机构，定性抽检600批次）≧7898批次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≥7898批次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8387</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市本级食品安全监督抽检专项：常德海关完成批次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439</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市本级食品安全监督抽检专项：市畜牧水产事务中心（含定性抽检700批次）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2792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设备维修检验-食品检验所-设备维修检验次数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r>
              <w:rPr>
                <w:rStyle w:val="30"/>
                <w:lang w:val="en-US" w:eastAsia="zh-CN" w:bidi="ar"/>
              </w:rPr>
              <w:t>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食品抽检购材料次数</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部分食品及食用农产品抽样和检验、食品添加剂检测材料采购</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r>
              <w:rPr>
                <w:rStyle w:val="30"/>
                <w:lang w:val="en-US" w:eastAsia="zh-CN" w:bidi="ar"/>
              </w:rPr>
              <w:t>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药品抽检批次</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检验检测用标准品、试剂采购</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r>
              <w:rPr>
                <w:rStyle w:val="30"/>
                <w:lang w:val="en-US" w:eastAsia="zh-CN" w:bidi="ar"/>
              </w:rPr>
              <w:t>批</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95批次药品检验已全部完成，年初计划方案中40批次为案件办理及投诉举报等应急抽检，送具有检验资质机构，我所未收到检品，故与实际有偏差。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培训次数</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食品宣传及工作技能培训次数、业务培训次数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≥19批次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r>
              <w:rPr>
                <w:rStyle w:val="30"/>
                <w:lang w:val="en-US" w:eastAsia="zh-CN" w:bidi="ar"/>
              </w:rPr>
              <w:t>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疫情影响，外出培训减少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市本级食品安全监督抽检检测报告出具数</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出具食品检测报告</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≥14948份</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16085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三废处理数：食品抽检中废气、废水、废渣处理数量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≥500kg</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三废处理数：药品抽检中废气、废水、废渣处理数量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≥700L</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质量指标（10分）</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食品药品抽检完成率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99.40%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不合格产品处置率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抽检废弃物处理率</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抽样品检测环保三废处理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检品抽样质量规范率</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根据《国家食品安全监督抽检实施细则（</w:t>
            </w:r>
            <w:r>
              <w:rPr>
                <w:rFonts w:hint="default" w:ascii="Times New Roman" w:hAnsi="Times New Roman" w:eastAsia="宋体" w:cs="Times New Roman"/>
                <w:i w:val="0"/>
                <w:iCs w:val="0"/>
                <w:color w:val="000000"/>
                <w:kern w:val="0"/>
                <w:sz w:val="18"/>
                <w:szCs w:val="18"/>
                <w:u w:val="none"/>
                <w:lang w:val="en-US" w:eastAsia="zh-CN" w:bidi="ar"/>
              </w:rPr>
              <w:t>2019</w:t>
            </w:r>
            <w:r>
              <w:rPr>
                <w:rStyle w:val="31"/>
                <w:rFonts w:ascii="宋体" w:hAnsi="宋体" w:eastAsia="宋体" w:cs="宋体"/>
                <w:sz w:val="24"/>
                <w:szCs w:val="24"/>
                <w:lang w:val="en-US" w:eastAsia="zh-CN" w:bidi="ar"/>
              </w:rPr>
              <w:t>年版）》指导文件，严格按照《细则》要求开展抽样检验，确保抽检质量，按市直有关单位要求完成抽样检验</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培训参与度</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检验准确率</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保证药品安全性检测率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时效指标（5分）</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抽检项目完成时间</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12月31日前</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成本指标（5分）</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常德市食品安全监督抽检经费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1305万元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1370.62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年度指标值未含上年结转154.76万元,2021年结余89.14万元。部分结余系设备质保金等。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市食品检验所</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食品抽检专项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264.4万元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264.4</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市食品药品检验所</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药品抽检专项</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128.74万元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150.63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执行数含上年结转21.89万元。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效益指标（30分）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市本级食品安全监督抽检专项：经济损失</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食品安全问题减少，经济损失减少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食品安全问题减少，经济损失减少</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食品安全及食品抽检知晓率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80.28%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重大食品安全事故发生数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Style w:val="30"/>
                <w:lang w:val="en-US" w:eastAsia="zh-CN" w:bidi="ar"/>
              </w:rPr>
              <w:t>起</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重大药害群体事故发生率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起</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抽检废弃物处理排放合格率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持续提升全市食品安全水平</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满意度指标（10分）</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社会公众对抽检满意度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r>
              <w:rPr>
                <w:rFonts w:hint="default" w:ascii="Times New Roman" w:hAnsi="Times New Roman" w:eastAsia="宋体" w:cs="Times New Roman"/>
                <w:i w:val="0"/>
                <w:iCs w:val="0"/>
                <w:color w:val="000000"/>
                <w:kern w:val="0"/>
                <w:sz w:val="18"/>
                <w:szCs w:val="18"/>
                <w:u w:val="none"/>
                <w:lang w:val="en-US" w:eastAsia="zh-CN" w:bidi="ar"/>
              </w:rPr>
              <w:t>-</w:t>
            </w:r>
            <w:r>
              <w:rPr>
                <w:rStyle w:val="31"/>
                <w:rFonts w:ascii="宋体" w:hAnsi="宋体" w:eastAsia="宋体" w:cs="宋体"/>
                <w:sz w:val="24"/>
                <w:szCs w:val="24"/>
                <w:lang w:val="en-US" w:eastAsia="zh-CN" w:bidi="ar"/>
              </w:rPr>
              <w:t>服务对象对抽检、检验满意度</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3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98.62 </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备注：一个项目支出一张表。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填表人：刘婷</w:t>
            </w:r>
            <w:r>
              <w:rPr>
                <w:rStyle w:val="32"/>
                <w:rFonts w:eastAsia="仿宋"/>
                <w:sz w:val="20"/>
                <w:szCs w:val="20"/>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填报日期：2022年6月27</w:t>
            </w:r>
            <w:r>
              <w:rPr>
                <w:rStyle w:val="33"/>
                <w:sz w:val="20"/>
                <w:szCs w:val="20"/>
                <w:lang w:val="en-US" w:eastAsia="zh-CN" w:bidi="ar"/>
              </w:rPr>
              <w:t>日</w:t>
            </w:r>
            <w:r>
              <w:rPr>
                <w:rStyle w:val="32"/>
                <w:rFonts w:eastAsia="仿宋"/>
                <w:sz w:val="20"/>
                <w:szCs w:val="20"/>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联系电话：18173618916</w:t>
            </w:r>
            <w:r>
              <w:rPr>
                <w:rStyle w:val="32"/>
                <w:rFonts w:eastAsia="仿宋"/>
                <w:sz w:val="20"/>
                <w:szCs w:val="20"/>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项目负责人签字：周轶</w:t>
            </w:r>
          </w:p>
        </w:tc>
      </w:tr>
    </w:tbl>
    <w:p>
      <w:pPr>
        <w:rPr>
          <w:rFonts w:hint="eastAsia"/>
          <w:lang w:val="en-US" w:eastAsia="zh-CN"/>
        </w:rPr>
      </w:pPr>
      <w:r>
        <w:rPr>
          <w:rFonts w:hint="eastAsia"/>
          <w:lang w:val="en-US" w:eastAsia="zh-CN"/>
        </w:rPr>
        <w:br w:type="page"/>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702"/>
        <w:gridCol w:w="702"/>
        <w:gridCol w:w="702"/>
        <w:gridCol w:w="1176"/>
        <w:gridCol w:w="1071"/>
        <w:gridCol w:w="874"/>
        <w:gridCol w:w="702"/>
        <w:gridCol w:w="833"/>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附件3-2</w:t>
            </w: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2021</w:t>
            </w:r>
            <w:r>
              <w:rPr>
                <w:rFonts w:ascii="方正小标宋_GBK" w:hAnsi="方正小标宋_GBK" w:eastAsia="方正小标宋_GBK" w:cs="方正小标宋_GBK"/>
                <w:i w:val="0"/>
                <w:iCs w:val="0"/>
                <w:color w:val="000000"/>
                <w:kern w:val="0"/>
                <w:sz w:val="36"/>
                <w:szCs w:val="36"/>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20"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 xml:space="preserve"> </w:t>
            </w: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8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2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57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国家食品安全城市创建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主管部门</w:t>
            </w:r>
          </w:p>
        </w:tc>
        <w:tc>
          <w:tcPr>
            <w:tcW w:w="24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w:t>
            </w:r>
          </w:p>
        </w:tc>
        <w:tc>
          <w:tcPr>
            <w:tcW w:w="16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项目资金（万元）</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上年结转</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全年预算</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全年执行数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执行率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年度资金总额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89.60%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其中：当年财政拨款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其他资金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年度总体目标</w:t>
            </w:r>
          </w:p>
        </w:tc>
        <w:tc>
          <w:tcPr>
            <w:tcW w:w="24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预期目标</w:t>
            </w:r>
          </w:p>
        </w:tc>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4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当地群众食品安全总体满意度达</w:t>
            </w:r>
            <w:r>
              <w:rPr>
                <w:rFonts w:hint="default" w:ascii="Times New Roman" w:hAnsi="Times New Roman" w:eastAsia="宋体" w:cs="Times New Roman"/>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，对创建工作的知晓率达</w:t>
            </w:r>
            <w:r>
              <w:rPr>
                <w:rFonts w:hint="default" w:ascii="Times New Roman" w:hAnsi="Times New Roman" w:eastAsia="宋体" w:cs="Times New Roman"/>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，对创建工作的支持率达</w:t>
            </w:r>
            <w:r>
              <w:rPr>
                <w:rFonts w:hint="default" w:ascii="Times New Roman" w:hAnsi="Times New Roman" w:eastAsia="宋体" w:cs="Times New Roman"/>
                <w:i w:val="0"/>
                <w:iCs w:val="0"/>
                <w:color w:val="000000"/>
                <w:kern w:val="0"/>
                <w:sz w:val="18"/>
                <w:szCs w:val="18"/>
                <w:u w:val="none"/>
                <w:lang w:val="en-US" w:eastAsia="zh-CN" w:bidi="ar"/>
              </w:rPr>
              <w:t>80%</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项国家食品安全示范城市创建指标全面完成。</w:t>
            </w:r>
          </w:p>
        </w:tc>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经测评全市群众食品安全总体满意度达93.06%，对创建工作的知晓率达80.28%，对创建工作的支持率达92.97%；75项国家食品安全示范城市创建指标全面完成。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绩效指标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产出指标（50分）</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数量指标（30分）</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创城指标</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完成创城指标数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75项</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媒体创城宣传合作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多渠道媒体宣传合作家数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≥10家</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创城视频、音频制作</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本年制作创城视频、音频期数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≥5期</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6期</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创城工作动态媒体发布</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在省、市部分媒体上作创城动态宣传、报道发布条数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召开会议次数</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召开全市食品安全工作会议、创建工作调度会、现场推进会等</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开展创城督导检查、考核评估等次数</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开展创城督导检查、考核评估等次数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业务培训人数</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组织业务培训</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市、县、乡三级从事食品安全工作人员</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150人/次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176人/次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印制毒蘑菇、创建知识读本数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≥10万份</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11万份</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质量指标（10分）</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创城工作知晓率</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群众知晓创城工作</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75%以上</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80.28%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业务培训合格率</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业务培训合格</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创城指标完成验收合格率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时效指标（5分）</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按本年度创城工作计划要求</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成本指标（5分）</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创城宣传经费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因测评中标金额20.86万，增加宣传7万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创城工作及专项经费</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按省局要求有效测评数达到1万以上，统计结果推迟至1月，2022年支付测评费20.86万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机动经费</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财政预留应急资金</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40万元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效益指标（30分）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市民对创建宣传工作的知晓率</w:t>
            </w:r>
            <w:r>
              <w:rPr>
                <w:rFonts w:hint="default" w:ascii="Times New Roman"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市民食品安全意识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80%以上</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90.83%</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市民对创建工作的支持率</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市民食品安全意识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80%以上</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92.97%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全市食品安全治理水平</w:t>
            </w:r>
            <w:r>
              <w:rPr>
                <w:rFonts w:hint="default"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16"/>
                <w:szCs w:val="16"/>
                <w:u w:val="none"/>
                <w:lang w:val="en-US" w:eastAsia="zh-CN" w:bidi="ar"/>
              </w:rPr>
              <w:t>通过创城工作，食品安全状况持续良好，食品安全源头治理有效，企业主体责任全面落实，社会共治格局基本形成。</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群众食品安全工作参与意识-为进一步做好食品安全工作、提高群众的食品安全工作参与意识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持续提高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持续提高</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满意度指标（10分）</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群众食品安全工作参与意识-为进一步做好食品安全工作、提高群众的食品安全工作参与意识</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持续提高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持续提高</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群众对食品安全满意度-群众对食品安全满意度（创建国家食品安全示范城市标准要求）</w:t>
            </w:r>
          </w:p>
        </w:tc>
        <w:tc>
          <w:tcPr>
            <w:tcW w:w="51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达80%以上</w:t>
            </w:r>
          </w:p>
        </w:tc>
        <w:tc>
          <w:tcPr>
            <w:tcW w:w="51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3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98.46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备注：一个项目支出一张表。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填表人：李曼</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填报日期：2022.6.30    </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联系电话：18807369993</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项目负责人签字：周轶</w:t>
            </w:r>
          </w:p>
        </w:tc>
      </w:tr>
    </w:tbl>
    <w:p>
      <w:pPr>
        <w:rPr>
          <w:rFonts w:hint="eastAsia"/>
          <w:lang w:val="en-US" w:eastAsia="zh-CN"/>
        </w:rPr>
      </w:pPr>
      <w:r>
        <w:rPr>
          <w:rFonts w:hint="eastAsia"/>
          <w:lang w:val="en-US" w:eastAsia="zh-CN"/>
        </w:rPr>
        <w:br w:type="page"/>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674"/>
        <w:gridCol w:w="674"/>
        <w:gridCol w:w="675"/>
        <w:gridCol w:w="1109"/>
        <w:gridCol w:w="1185"/>
        <w:gridCol w:w="1187"/>
        <w:gridCol w:w="576"/>
        <w:gridCol w:w="833"/>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附件3-3</w:t>
            </w: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7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2021</w:t>
            </w:r>
            <w:r>
              <w:rPr>
                <w:rFonts w:ascii="方正小标宋_GBK" w:hAnsi="方正小标宋_GBK" w:eastAsia="方正小标宋_GBK" w:cs="方正小标宋_GBK"/>
                <w:i w:val="0"/>
                <w:iCs w:val="0"/>
                <w:color w:val="000000"/>
                <w:kern w:val="0"/>
                <w:sz w:val="36"/>
                <w:szCs w:val="36"/>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1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 xml:space="preserve"> </w:t>
            </w: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1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7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5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主管部门</w:t>
            </w:r>
          </w:p>
        </w:tc>
        <w:tc>
          <w:tcPr>
            <w:tcW w:w="2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w:t>
            </w: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项目资金（万元）</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上年结转</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全年预算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执行率</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年度资金总额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499.85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99.97%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其中：当年财政拨款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499.85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其他资金</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年度总体目标</w:t>
            </w:r>
          </w:p>
        </w:tc>
        <w:tc>
          <w:tcPr>
            <w:tcW w:w="2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预期目标</w:t>
            </w:r>
          </w:p>
        </w:tc>
        <w:tc>
          <w:tcPr>
            <w:tcW w:w="19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5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到年末，形成知识产权创造优质、运用高效、保护有力、管理科学、服务提升的良好局面。 本年发明专利授权量同比增长12%以上；奖励资助精准率达100%；服务对象满意程度达到90%以上；专利技术成果转化为社会生产力的比率达30%以上，年末常德知识产权事业发展水平由全省中游水准跃升至全省前列。         </w:t>
            </w:r>
          </w:p>
        </w:tc>
        <w:tc>
          <w:tcPr>
            <w:tcW w:w="19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全市当年度获得的发明专利、PCT申请、地理标志、质押融资进行资助，奖励资助精准率达100%；服务对象满意程度达到95%。荣获人力资源社会保障部及国家知识产权局授予的“全国知识产权系统先进集体”增强全市知识产权创造、运用和保护能力，促进我市技术创新和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绩效指标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实际完成值</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产出指标（50分）</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数量指标（30分）</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发明专利资助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预计460件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787</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20年度11-12月划入本年度118件，本年度发明专利授权数超预期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PCT</w:t>
            </w:r>
            <w:r>
              <w:rPr>
                <w:rFonts w:hint="eastAsia" w:ascii="宋体" w:hAnsi="宋体" w:eastAsia="宋体" w:cs="宋体"/>
                <w:i w:val="0"/>
                <w:iCs w:val="0"/>
                <w:color w:val="000000"/>
                <w:kern w:val="0"/>
                <w:sz w:val="18"/>
                <w:szCs w:val="18"/>
                <w:u w:val="none"/>
                <w:lang w:val="en-US" w:eastAsia="zh-CN" w:bidi="ar"/>
              </w:rPr>
              <w:t>（国际）专利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20年度11-12月划入本年度7件，本年度PCT申请成功数超预期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商标和地理标志产品资助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地理标志申请企业申请情况有所变化，导致申请不在本年度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企业贯标补助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20年度11-12月划入本年度7件，本年度企业申请成功数超预期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质押融资补贴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20年度11-12月划入本年度3件，本年度企业申请成功数超预期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示范优势单位奖补</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预计9家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国家知识产权局2021年度未开展知识产权优势示范企业评选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质量指标（10分）</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发明专利资助-全市发明专利申请量同比增长率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无法统计</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国家知识产权局于2021年初停止发布该项数据。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资助精准率-通过市、县两级知识产权部门及财政部门共同对申报资料进行严格把关，确保资助100%不漏领、不冒领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时效指标（5分）</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2021年12月31日前完成</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2021年12月31日前完成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成本指标（5分）</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发明专利及</w:t>
            </w:r>
            <w:r>
              <w:rPr>
                <w:rFonts w:hint="default" w:ascii="Times New Roman" w:hAnsi="Times New Roman" w:eastAsia="宋体" w:cs="Times New Roman"/>
                <w:i w:val="0"/>
                <w:iCs w:val="0"/>
                <w:color w:val="000000"/>
                <w:kern w:val="0"/>
                <w:sz w:val="18"/>
                <w:szCs w:val="18"/>
                <w:u w:val="none"/>
                <w:lang w:val="en-US" w:eastAsia="zh-CN" w:bidi="ar"/>
              </w:rPr>
              <w:t>PCT</w:t>
            </w:r>
            <w:r>
              <w:rPr>
                <w:rFonts w:hint="eastAsia" w:ascii="宋体" w:hAnsi="宋体" w:eastAsia="宋体" w:cs="宋体"/>
                <w:i w:val="0"/>
                <w:iCs w:val="0"/>
                <w:color w:val="000000"/>
                <w:kern w:val="0"/>
                <w:sz w:val="18"/>
                <w:szCs w:val="18"/>
                <w:u w:val="none"/>
                <w:lang w:val="en-US" w:eastAsia="zh-CN" w:bidi="ar"/>
              </w:rPr>
              <w:t>专利资助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292.1</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2020年度11-12月划入本年度118+7（PCT）件，本年度PCT申请成功数超预期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商标和地理标志产品资助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0.4</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地理标志申请企业申请情况有所变化，导致申请不在本年度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企业贯标资助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2020年度11-12月划入本年度7家，本年度企业申请成功数超预期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质押融资补贴</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81.75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0.3</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对《知识产权战略资金管理办法》中此项补贴的额度适用存在偏差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示范优势单位奖补</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等待国家知识产权局开展知识产权优势示范企业评选结果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品牌拓展资金</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知识产权创新发展资金</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10万元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效益指标（30分）</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专利技术成果转化为社会生产力的比率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全市年度知识产权质押融资额度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&gt;1亿元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地理标志实际投入运用率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社会贡献度-知识产权工作对社会的积极影响-促进社会创新和社会进步，带动就业</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促进社会创新和社会进步，带动就业</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促进社会创新和社会进步，带动就业</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建设知识产权强市-充分发挥知识产权的市场价值，将常德建设成为可持续发展能力强的知识产权强市</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持续优化</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持续优化</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满意度指标（10分）</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补贴对象满意度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7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总分</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99.29</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备注：一个项目支出一张表。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填表人：</w:t>
            </w:r>
            <w:r>
              <w:rPr>
                <w:rStyle w:val="34"/>
                <w:sz w:val="20"/>
                <w:szCs w:val="20"/>
                <w:lang w:val="en-US" w:eastAsia="zh-CN" w:bidi="ar"/>
              </w:rPr>
              <w:t>周大钦</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填报日期：2022.6.23</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联系电话：18007369923  </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项目负责人签字：曾遥</w:t>
            </w:r>
          </w:p>
        </w:tc>
      </w:tr>
    </w:tbl>
    <w:p>
      <w:pPr>
        <w:rPr>
          <w:rFonts w:hint="eastAsia"/>
          <w:lang w:val="en-US" w:eastAsia="zh-CN"/>
        </w:rPr>
      </w:pPr>
      <w:r>
        <w:rPr>
          <w:rFonts w:hint="eastAsia"/>
          <w:lang w:val="en-US" w:eastAsia="zh-CN"/>
        </w:rPr>
        <w:br w:type="page"/>
      </w:r>
    </w:p>
    <w:tbl>
      <w:tblPr>
        <w:tblStyle w:val="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761"/>
        <w:gridCol w:w="763"/>
        <w:gridCol w:w="761"/>
        <w:gridCol w:w="1259"/>
        <w:gridCol w:w="952"/>
        <w:gridCol w:w="947"/>
        <w:gridCol w:w="762"/>
        <w:gridCol w:w="834"/>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附件3-4</w:t>
            </w: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3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2021</w:t>
            </w:r>
            <w:r>
              <w:rPr>
                <w:rFonts w:ascii="方正小标宋_GBK" w:hAnsi="方正小标宋_GBK" w:eastAsia="方正小标宋_GBK" w:cs="方正小标宋_GBK"/>
                <w:i w:val="0"/>
                <w:iCs w:val="0"/>
                <w:color w:val="000000"/>
                <w:kern w:val="0"/>
                <w:sz w:val="36"/>
                <w:szCs w:val="36"/>
                <w:u w:val="none"/>
                <w:lang w:val="en-US" w:eastAsia="zh-CN" w:bidi="ar"/>
              </w:rPr>
              <w:t>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i w:val="0"/>
                <w:iCs w:val="0"/>
                <w:color w:val="000000"/>
                <w:kern w:val="0"/>
                <w:sz w:val="36"/>
                <w:szCs w:val="36"/>
                <w:u w:val="none"/>
                <w:lang w:val="en-US" w:eastAsia="zh-CN" w:bidi="ar"/>
              </w:rPr>
              <w:t xml:space="preserve"> </w:t>
            </w: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3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3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4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59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项目名称</w:t>
            </w:r>
          </w:p>
        </w:tc>
        <w:tc>
          <w:tcPr>
            <w:tcW w:w="45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主管部门</w:t>
            </w:r>
          </w:p>
        </w:tc>
        <w:tc>
          <w:tcPr>
            <w:tcW w:w="25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w:t>
            </w:r>
          </w:p>
        </w:tc>
        <w:tc>
          <w:tcPr>
            <w:tcW w:w="14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常德市市场监督管理局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项目资金（万元）</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上年结转</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全年预算</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全年执行数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执行率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年度资金总额　</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1203.75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1203.75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1144.74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其中：当年财政拨款　</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1203.75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1203.75</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1144.74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年度总体目标</w:t>
            </w:r>
          </w:p>
        </w:tc>
        <w:tc>
          <w:tcPr>
            <w:tcW w:w="25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预期目标</w:t>
            </w:r>
          </w:p>
        </w:tc>
        <w:tc>
          <w:tcPr>
            <w:tcW w:w="20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25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局机关及直属事业单位市场主体管理、市场秩序执法、计量、标准、认证认可、审评及不良反应监测、产品质量安全监管、特种设备质量安全监管、食品药品安全监管、法治建设及有关综合部门日常业务工作开展等。</w:t>
            </w:r>
          </w:p>
        </w:tc>
        <w:tc>
          <w:tcPr>
            <w:tcW w:w="20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局机关及直属事业单位市场主体管理、市场秩序执法、计量、标准、认证认可、审评及不良反应监测、产品质量安全监管、特种设备质量安全监管、食品药品安全监管、法治建设及有关综合部门日常业务工作开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年度指标值</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实际完成值</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分值</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产出指标（50分）</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数量指标（30分）</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化妆品、药品、医疗器械监督抽检-化妆品20批次、药品120批次、医疗器械13批次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≥153批次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153批次（化妆品20批次、药品120批次、医疗器械13批次）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重点行业、企业质量诊断数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12家</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开展“品牌常德 品质消费”活动次数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食品安全事故应急演练次数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制定《常德市市场监督管理局放心消费创建工作实旅方案》</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制定《常德市市场主体和规上企业双倍增三年行动计划实施方案(2021-2023年)》的细化措施</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全市市场主体数量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38万户（可能受外部环境等影响，最终按实际数确定）</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38.47万户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建立公平竞争审查工作联席会议制度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1个</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全年完成强检计量器具总量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≥7.1万台（件）</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8.5万台（件）</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完成经营性精干麻公检批次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≥30批次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55批次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开展工业产品监督抽样</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≥500批次</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602批次</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编制完成常德基本公共服务标准数量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160项</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174项（其中基本公共服务基础标准5项、事项标准154项和评价标准15项）</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质量指标（10分）</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各项工作完成率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确保全市范围内不发生重大食品药品、产商品、特安安全事故</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时效指标（5分）</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按本年度工作计划要求</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2021年12月31日前</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成本指标（5分）</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市本级预算运转类项目支出成本控制金额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仿宋" w:hAnsi="仿宋" w:eastAsia="仿宋" w:cs="仿宋"/>
                <w:i w:val="0"/>
                <w:iCs w:val="0"/>
                <w:color w:val="000000"/>
                <w:kern w:val="0"/>
                <w:sz w:val="18"/>
                <w:szCs w:val="18"/>
                <w:u w:val="none"/>
                <w:lang w:val="en-US" w:eastAsia="zh-CN" w:bidi="ar"/>
              </w:rPr>
              <w:t>1203.75万元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1144.74</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效益指标（30分）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传销活动发生数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不断降低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不断降低</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群众维权意识、营商环境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增强、改善</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增强、改善</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市场监管是一项长期性的工作</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项目可持续</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项目可持续</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满意度指标（10分）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群众市场监管满意度</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35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99.51</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备注：一个项目支出一张表。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填表人：杜承霖</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填报日期：2022.6.30    </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联系电话：18007369727</w:t>
            </w:r>
            <w:r>
              <w:rPr>
                <w:rFonts w:hint="default" w:ascii="Times New Roman" w:hAnsi="Times New Roman" w:eastAsia="仿宋" w:cs="Times New Roman"/>
                <w:i w:val="0"/>
                <w:iCs w:val="0"/>
                <w:color w:val="000000"/>
                <w:kern w:val="0"/>
                <w:sz w:val="20"/>
                <w:szCs w:val="20"/>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项目负责人签字：王苠睿</w:t>
            </w:r>
          </w:p>
        </w:tc>
      </w:tr>
    </w:tbl>
    <w:p>
      <w:pPr>
        <w:pStyle w:val="2"/>
        <w:rPr>
          <w:rFonts w:hint="eastAsia"/>
          <w:lang w:val="en-US" w:eastAsia="zh-CN"/>
        </w:rPr>
      </w:pPr>
    </w:p>
    <w:sectPr>
      <w:pgSz w:w="11906" w:h="16838"/>
      <w:pgMar w:top="2154" w:right="1531" w:bottom="2154" w:left="1531" w:header="851" w:footer="992" w:gutter="0"/>
      <w:cols w:space="0" w:num="1"/>
      <w:rtlGutter w:val="0"/>
      <w:docGrid w:type="linesAndChars" w:linePitch="313"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DA31"/>
    <w:multiLevelType w:val="singleLevel"/>
    <w:tmpl w:val="800ADA31"/>
    <w:lvl w:ilvl="0" w:tentative="0">
      <w:start w:val="2"/>
      <w:numFmt w:val="decimal"/>
      <w:suff w:val="nothing"/>
      <w:lvlText w:val="%1、"/>
      <w:lvlJc w:val="left"/>
    </w:lvl>
  </w:abstractNum>
  <w:abstractNum w:abstractNumId="1">
    <w:nsid w:val="CE793300"/>
    <w:multiLevelType w:val="singleLevel"/>
    <w:tmpl w:val="CE793300"/>
    <w:lvl w:ilvl="0" w:tentative="0">
      <w:start w:val="6"/>
      <w:numFmt w:val="decimal"/>
      <w:suff w:val="nothing"/>
      <w:lvlText w:val="%1、"/>
      <w:lvlJc w:val="left"/>
    </w:lvl>
  </w:abstractNum>
  <w:abstractNum w:abstractNumId="2">
    <w:nsid w:val="D462CBA4"/>
    <w:multiLevelType w:val="singleLevel"/>
    <w:tmpl w:val="D462CBA4"/>
    <w:lvl w:ilvl="0" w:tentative="0">
      <w:start w:val="4"/>
      <w:numFmt w:val="chineseCounting"/>
      <w:suff w:val="nothing"/>
      <w:lvlText w:val="（%1）"/>
      <w:lvlJc w:val="left"/>
      <w:rPr>
        <w:rFonts w:hint="eastAsia"/>
      </w:rPr>
    </w:lvl>
  </w:abstractNum>
  <w:abstractNum w:abstractNumId="3">
    <w:nsid w:val="F77DA86A"/>
    <w:multiLevelType w:val="singleLevel"/>
    <w:tmpl w:val="F77DA86A"/>
    <w:lvl w:ilvl="0" w:tentative="0">
      <w:start w:val="1"/>
      <w:numFmt w:val="chineseCounting"/>
      <w:suff w:val="nothing"/>
      <w:lvlText w:val="%1、"/>
      <w:lvlJc w:val="left"/>
      <w:rPr>
        <w:rFonts w:hint="eastAsia"/>
      </w:rPr>
    </w:lvl>
  </w:abstractNum>
  <w:abstractNum w:abstractNumId="4">
    <w:nsid w:val="270C3167"/>
    <w:multiLevelType w:val="singleLevel"/>
    <w:tmpl w:val="270C3167"/>
    <w:lvl w:ilvl="0" w:tentative="0">
      <w:start w:val="13"/>
      <w:numFmt w:val="decimal"/>
      <w:suff w:val="nothing"/>
      <w:lvlText w:val="%1、"/>
      <w:lvlJc w:val="left"/>
      <w:pPr>
        <w:ind w:left="-170"/>
      </w:pPr>
    </w:lvl>
  </w:abstractNum>
  <w:abstractNum w:abstractNumId="5">
    <w:nsid w:val="6E180C23"/>
    <w:multiLevelType w:val="singleLevel"/>
    <w:tmpl w:val="6E180C23"/>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YzNhMjkzMTJkOWJkZDc5NWVmNmRkMzhmZTNkNjcifQ=="/>
  </w:docVars>
  <w:rsids>
    <w:rsidRoot w:val="004506F9"/>
    <w:rsid w:val="0002229B"/>
    <w:rsid w:val="000273BD"/>
    <w:rsid w:val="000415B7"/>
    <w:rsid w:val="00041E3F"/>
    <w:rsid w:val="00055DAA"/>
    <w:rsid w:val="00061F7B"/>
    <w:rsid w:val="000658A3"/>
    <w:rsid w:val="00074155"/>
    <w:rsid w:val="000873EF"/>
    <w:rsid w:val="000A3F69"/>
    <w:rsid w:val="000C3DA7"/>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16E15"/>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3C3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15FE5"/>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7677"/>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856BDE"/>
    <w:rsid w:val="01A51AA2"/>
    <w:rsid w:val="028C11CF"/>
    <w:rsid w:val="02A77391"/>
    <w:rsid w:val="03D94883"/>
    <w:rsid w:val="03F05FB9"/>
    <w:rsid w:val="04B07CB0"/>
    <w:rsid w:val="073051A4"/>
    <w:rsid w:val="073337BE"/>
    <w:rsid w:val="07362732"/>
    <w:rsid w:val="07742024"/>
    <w:rsid w:val="084669CD"/>
    <w:rsid w:val="08DB28A1"/>
    <w:rsid w:val="09F02978"/>
    <w:rsid w:val="0A596A77"/>
    <w:rsid w:val="0A822D71"/>
    <w:rsid w:val="0C5221D3"/>
    <w:rsid w:val="0D093B48"/>
    <w:rsid w:val="0D425D8B"/>
    <w:rsid w:val="0DA75531"/>
    <w:rsid w:val="0E304FC4"/>
    <w:rsid w:val="0EA16841"/>
    <w:rsid w:val="0ED5487A"/>
    <w:rsid w:val="0FE54E95"/>
    <w:rsid w:val="104B1D48"/>
    <w:rsid w:val="10592408"/>
    <w:rsid w:val="106F2064"/>
    <w:rsid w:val="110E3E23"/>
    <w:rsid w:val="122624A0"/>
    <w:rsid w:val="12791770"/>
    <w:rsid w:val="12E861E1"/>
    <w:rsid w:val="13ED4D0B"/>
    <w:rsid w:val="1415565E"/>
    <w:rsid w:val="14536FF2"/>
    <w:rsid w:val="145A277C"/>
    <w:rsid w:val="14DF1653"/>
    <w:rsid w:val="15305F6D"/>
    <w:rsid w:val="1577365E"/>
    <w:rsid w:val="159D40C7"/>
    <w:rsid w:val="1694045A"/>
    <w:rsid w:val="17BA1946"/>
    <w:rsid w:val="18AA0AF3"/>
    <w:rsid w:val="191044B0"/>
    <w:rsid w:val="191E06A9"/>
    <w:rsid w:val="1A023DCC"/>
    <w:rsid w:val="1A6E5932"/>
    <w:rsid w:val="1AA619A6"/>
    <w:rsid w:val="1ABC0F01"/>
    <w:rsid w:val="1AFC2F3E"/>
    <w:rsid w:val="1AFF2817"/>
    <w:rsid w:val="1C306FEC"/>
    <w:rsid w:val="1C5B564F"/>
    <w:rsid w:val="1CE332FA"/>
    <w:rsid w:val="1DD708F3"/>
    <w:rsid w:val="1E0F6365"/>
    <w:rsid w:val="1E206F53"/>
    <w:rsid w:val="1F893D4B"/>
    <w:rsid w:val="1FF35462"/>
    <w:rsid w:val="20390790"/>
    <w:rsid w:val="20DE7CC7"/>
    <w:rsid w:val="20F360A6"/>
    <w:rsid w:val="212B00D9"/>
    <w:rsid w:val="2158609C"/>
    <w:rsid w:val="21696E53"/>
    <w:rsid w:val="21922704"/>
    <w:rsid w:val="225C6436"/>
    <w:rsid w:val="24522877"/>
    <w:rsid w:val="24535FE2"/>
    <w:rsid w:val="247C32A9"/>
    <w:rsid w:val="24D67D44"/>
    <w:rsid w:val="254450D7"/>
    <w:rsid w:val="257D5176"/>
    <w:rsid w:val="26013AFE"/>
    <w:rsid w:val="268838A1"/>
    <w:rsid w:val="26C5659F"/>
    <w:rsid w:val="26D81576"/>
    <w:rsid w:val="285D15A5"/>
    <w:rsid w:val="28723E61"/>
    <w:rsid w:val="28A54C15"/>
    <w:rsid w:val="29983D23"/>
    <w:rsid w:val="2A490C34"/>
    <w:rsid w:val="2AA63B0A"/>
    <w:rsid w:val="2AF07184"/>
    <w:rsid w:val="2B285689"/>
    <w:rsid w:val="2B364E1E"/>
    <w:rsid w:val="2BCC37FB"/>
    <w:rsid w:val="2C4660C5"/>
    <w:rsid w:val="2C565018"/>
    <w:rsid w:val="2CAA0931"/>
    <w:rsid w:val="2D3A366B"/>
    <w:rsid w:val="2D765371"/>
    <w:rsid w:val="2E803721"/>
    <w:rsid w:val="2E8E7EF9"/>
    <w:rsid w:val="2E8F5C67"/>
    <w:rsid w:val="2EB536D8"/>
    <w:rsid w:val="2EDC43FF"/>
    <w:rsid w:val="3029612C"/>
    <w:rsid w:val="30984ED3"/>
    <w:rsid w:val="30FA7701"/>
    <w:rsid w:val="311526E8"/>
    <w:rsid w:val="313D3D40"/>
    <w:rsid w:val="317F1055"/>
    <w:rsid w:val="3186135C"/>
    <w:rsid w:val="31987E08"/>
    <w:rsid w:val="31AE2917"/>
    <w:rsid w:val="32155683"/>
    <w:rsid w:val="331D173D"/>
    <w:rsid w:val="33507522"/>
    <w:rsid w:val="33B30553"/>
    <w:rsid w:val="33E16792"/>
    <w:rsid w:val="344E32DB"/>
    <w:rsid w:val="35B95783"/>
    <w:rsid w:val="35BF6BEA"/>
    <w:rsid w:val="35C02911"/>
    <w:rsid w:val="360B1BCE"/>
    <w:rsid w:val="36623D7B"/>
    <w:rsid w:val="36971F00"/>
    <w:rsid w:val="3701378C"/>
    <w:rsid w:val="37880E65"/>
    <w:rsid w:val="3A7C589E"/>
    <w:rsid w:val="3B637E0C"/>
    <w:rsid w:val="3C59537C"/>
    <w:rsid w:val="3D11193C"/>
    <w:rsid w:val="3D670293"/>
    <w:rsid w:val="3E242A33"/>
    <w:rsid w:val="3E834AC1"/>
    <w:rsid w:val="3E9A1A83"/>
    <w:rsid w:val="3F1C2956"/>
    <w:rsid w:val="3F6B1EDC"/>
    <w:rsid w:val="40480397"/>
    <w:rsid w:val="40B046AF"/>
    <w:rsid w:val="410B7392"/>
    <w:rsid w:val="41B901C9"/>
    <w:rsid w:val="42431506"/>
    <w:rsid w:val="426024C3"/>
    <w:rsid w:val="438D657A"/>
    <w:rsid w:val="43B36EAA"/>
    <w:rsid w:val="43BF07F1"/>
    <w:rsid w:val="43D361F5"/>
    <w:rsid w:val="43D562A2"/>
    <w:rsid w:val="442D0F7F"/>
    <w:rsid w:val="448307F2"/>
    <w:rsid w:val="44A2561E"/>
    <w:rsid w:val="45A92ADD"/>
    <w:rsid w:val="461D1E37"/>
    <w:rsid w:val="462F27BE"/>
    <w:rsid w:val="46647FB7"/>
    <w:rsid w:val="471171CE"/>
    <w:rsid w:val="473141F4"/>
    <w:rsid w:val="48C03D8A"/>
    <w:rsid w:val="48D81887"/>
    <w:rsid w:val="49C77EAB"/>
    <w:rsid w:val="4A3A428D"/>
    <w:rsid w:val="4A3D4D12"/>
    <w:rsid w:val="4AB22AE7"/>
    <w:rsid w:val="4B55797D"/>
    <w:rsid w:val="4B7122DD"/>
    <w:rsid w:val="4B9550DB"/>
    <w:rsid w:val="4BED5885"/>
    <w:rsid w:val="4C3E2B07"/>
    <w:rsid w:val="4C5B4C6F"/>
    <w:rsid w:val="4C657805"/>
    <w:rsid w:val="4C786F8C"/>
    <w:rsid w:val="4C912F3F"/>
    <w:rsid w:val="4CB70C5A"/>
    <w:rsid w:val="4CE55859"/>
    <w:rsid w:val="4D901140"/>
    <w:rsid w:val="4E503F5C"/>
    <w:rsid w:val="4F830C2B"/>
    <w:rsid w:val="50114402"/>
    <w:rsid w:val="50BF4EA5"/>
    <w:rsid w:val="50F13B54"/>
    <w:rsid w:val="512F2A1E"/>
    <w:rsid w:val="519E7BA6"/>
    <w:rsid w:val="51DC2BA6"/>
    <w:rsid w:val="534D53DE"/>
    <w:rsid w:val="545F419D"/>
    <w:rsid w:val="54614B19"/>
    <w:rsid w:val="548465C9"/>
    <w:rsid w:val="551E7F1F"/>
    <w:rsid w:val="57727743"/>
    <w:rsid w:val="58D95AC3"/>
    <w:rsid w:val="5916049F"/>
    <w:rsid w:val="59425B7B"/>
    <w:rsid w:val="59A1524E"/>
    <w:rsid w:val="5A373EBE"/>
    <w:rsid w:val="5AB05D83"/>
    <w:rsid w:val="5C677510"/>
    <w:rsid w:val="5DB744C7"/>
    <w:rsid w:val="5E214AAE"/>
    <w:rsid w:val="5E2A4BFF"/>
    <w:rsid w:val="5EAE131B"/>
    <w:rsid w:val="5EF41CC5"/>
    <w:rsid w:val="5F5905F2"/>
    <w:rsid w:val="5F776541"/>
    <w:rsid w:val="614C4114"/>
    <w:rsid w:val="61C33220"/>
    <w:rsid w:val="622F689D"/>
    <w:rsid w:val="633914DA"/>
    <w:rsid w:val="63456FA8"/>
    <w:rsid w:val="63AD43A2"/>
    <w:rsid w:val="63BC2EC9"/>
    <w:rsid w:val="63CB4EF2"/>
    <w:rsid w:val="64183371"/>
    <w:rsid w:val="642042F5"/>
    <w:rsid w:val="643B51BD"/>
    <w:rsid w:val="64451A89"/>
    <w:rsid w:val="65356251"/>
    <w:rsid w:val="65C17402"/>
    <w:rsid w:val="669F368B"/>
    <w:rsid w:val="675C5196"/>
    <w:rsid w:val="675F3C06"/>
    <w:rsid w:val="675F57D4"/>
    <w:rsid w:val="67D964EE"/>
    <w:rsid w:val="67FD4013"/>
    <w:rsid w:val="68FF1815"/>
    <w:rsid w:val="693C0FF5"/>
    <w:rsid w:val="694C59C4"/>
    <w:rsid w:val="698750FB"/>
    <w:rsid w:val="6A9D0760"/>
    <w:rsid w:val="6AB3759E"/>
    <w:rsid w:val="6B0573AA"/>
    <w:rsid w:val="6C4B5347"/>
    <w:rsid w:val="6CA1384A"/>
    <w:rsid w:val="6D4579FD"/>
    <w:rsid w:val="6E73091D"/>
    <w:rsid w:val="6F0926A9"/>
    <w:rsid w:val="6F3D7F28"/>
    <w:rsid w:val="6FA67561"/>
    <w:rsid w:val="70963CA5"/>
    <w:rsid w:val="70B57A2D"/>
    <w:rsid w:val="71322E0E"/>
    <w:rsid w:val="7179083E"/>
    <w:rsid w:val="719C018B"/>
    <w:rsid w:val="72635562"/>
    <w:rsid w:val="72983713"/>
    <w:rsid w:val="729F0F46"/>
    <w:rsid w:val="72D57472"/>
    <w:rsid w:val="73AF2DAD"/>
    <w:rsid w:val="758D7B90"/>
    <w:rsid w:val="75D32D2C"/>
    <w:rsid w:val="76320A0F"/>
    <w:rsid w:val="76A74C81"/>
    <w:rsid w:val="76DA5ECC"/>
    <w:rsid w:val="77E97FD6"/>
    <w:rsid w:val="77F56073"/>
    <w:rsid w:val="78347A3A"/>
    <w:rsid w:val="784C2F7D"/>
    <w:rsid w:val="78CF04BF"/>
    <w:rsid w:val="79563B1E"/>
    <w:rsid w:val="79674CD4"/>
    <w:rsid w:val="799E1786"/>
    <w:rsid w:val="79B87C7E"/>
    <w:rsid w:val="7E521976"/>
    <w:rsid w:val="7E7165FB"/>
    <w:rsid w:val="7EBC3294"/>
    <w:rsid w:val="7FEC2DA8"/>
    <w:rsid w:val="7FF7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1"/>
    <w:pPr>
      <w:ind w:left="404"/>
    </w:pPr>
    <w:rPr>
      <w:rFonts w:ascii="宋体" w:hAnsi="宋体" w:eastAsia="宋体" w:cs="宋体"/>
      <w:sz w:val="28"/>
      <w:szCs w:val="28"/>
      <w:lang w:val="zh-CN" w:eastAsia="zh-CN" w:bidi="zh-CN"/>
    </w:rPr>
  </w:style>
  <w:style w:type="paragraph" w:customStyle="1" w:styleId="4">
    <w:name w:val="List Paragraph"/>
    <w:basedOn w:val="1"/>
    <w:qFormat/>
    <w:uiPriority w:val="34"/>
    <w:pPr>
      <w:ind w:firstLine="420" w:firstLineChars="200"/>
    </w:pPr>
  </w:style>
  <w:style w:type="paragraph" w:styleId="5">
    <w:name w:val="Balloon Text"/>
    <w:basedOn w:val="1"/>
    <w:link w:val="13"/>
    <w:unhideWhenUsed/>
    <w:qFormat/>
    <w:uiPriority w:val="99"/>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2"/>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3">
    <w:name w:val="批注框文本 Char"/>
    <w:basedOn w:val="9"/>
    <w:link w:val="5"/>
    <w:semiHidden/>
    <w:qFormat/>
    <w:uiPriority w:val="99"/>
    <w:rPr>
      <w:sz w:val="18"/>
      <w:szCs w:val="18"/>
    </w:rPr>
  </w:style>
  <w:style w:type="paragraph" w:customStyle="1" w:styleId="14">
    <w:name w:val="List Paragraph1"/>
    <w:basedOn w:val="1"/>
    <w:qFormat/>
    <w:uiPriority w:val="0"/>
    <w:pPr>
      <w:ind w:firstLine="420" w:firstLineChars="200"/>
    </w:pPr>
  </w:style>
  <w:style w:type="character" w:customStyle="1" w:styleId="15">
    <w:name w:val="font01"/>
    <w:basedOn w:val="9"/>
    <w:qFormat/>
    <w:uiPriority w:val="0"/>
    <w:rPr>
      <w:rFonts w:hint="eastAsia" w:ascii="宋体" w:hAnsi="宋体" w:eastAsia="宋体" w:cs="宋体"/>
      <w:color w:val="000000"/>
      <w:sz w:val="21"/>
      <w:szCs w:val="21"/>
      <w:u w:val="none"/>
    </w:rPr>
  </w:style>
  <w:style w:type="character" w:customStyle="1" w:styleId="16">
    <w:name w:val="font71"/>
    <w:basedOn w:val="9"/>
    <w:qFormat/>
    <w:uiPriority w:val="0"/>
    <w:rPr>
      <w:rFonts w:hint="eastAsia" w:ascii="宋体" w:hAnsi="宋体" w:eastAsia="宋体" w:cs="宋体"/>
      <w:color w:val="000000"/>
      <w:sz w:val="22"/>
      <w:szCs w:val="22"/>
      <w:u w:val="none"/>
    </w:rPr>
  </w:style>
  <w:style w:type="character" w:customStyle="1" w:styleId="17">
    <w:name w:val="font51"/>
    <w:basedOn w:val="9"/>
    <w:qFormat/>
    <w:uiPriority w:val="0"/>
    <w:rPr>
      <w:rFonts w:hint="eastAsia" w:ascii="宋体" w:hAnsi="宋体" w:eastAsia="宋体" w:cs="宋体"/>
      <w:color w:val="000000"/>
      <w:sz w:val="22"/>
      <w:szCs w:val="22"/>
      <w:u w:val="none"/>
    </w:rPr>
  </w:style>
  <w:style w:type="character" w:customStyle="1" w:styleId="18">
    <w:name w:val="font11"/>
    <w:basedOn w:val="9"/>
    <w:qFormat/>
    <w:uiPriority w:val="0"/>
    <w:rPr>
      <w:rFonts w:hint="eastAsia" w:ascii="仿宋" w:hAnsi="仿宋" w:eastAsia="仿宋" w:cs="仿宋"/>
      <w:color w:val="000000"/>
      <w:sz w:val="18"/>
      <w:szCs w:val="18"/>
      <w:u w:val="none"/>
    </w:rPr>
  </w:style>
  <w:style w:type="character" w:customStyle="1" w:styleId="19">
    <w:name w:val="font21"/>
    <w:basedOn w:val="9"/>
    <w:qFormat/>
    <w:uiPriority w:val="0"/>
    <w:rPr>
      <w:rFonts w:hint="default" w:ascii="Times New Roman" w:hAnsi="Times New Roman" w:cs="Times New Roman"/>
      <w:color w:val="000000"/>
      <w:sz w:val="18"/>
      <w:szCs w:val="18"/>
      <w:u w:val="none"/>
    </w:rPr>
  </w:style>
  <w:style w:type="character" w:customStyle="1" w:styleId="20">
    <w:name w:val="font91"/>
    <w:basedOn w:val="9"/>
    <w:qFormat/>
    <w:uiPriority w:val="0"/>
    <w:rPr>
      <w:rFonts w:hint="eastAsia" w:ascii="宋体" w:hAnsi="宋体" w:eastAsia="宋体" w:cs="宋体"/>
      <w:color w:val="000000"/>
      <w:sz w:val="21"/>
      <w:szCs w:val="21"/>
      <w:u w:val="none"/>
    </w:rPr>
  </w:style>
  <w:style w:type="character" w:customStyle="1" w:styleId="21">
    <w:name w:val="font61"/>
    <w:basedOn w:val="9"/>
    <w:qFormat/>
    <w:uiPriority w:val="0"/>
    <w:rPr>
      <w:rFonts w:hint="eastAsia" w:ascii="宋体" w:hAnsi="宋体" w:eastAsia="宋体" w:cs="宋体"/>
      <w:color w:val="000000"/>
      <w:sz w:val="22"/>
      <w:szCs w:val="22"/>
      <w:u w:val="none"/>
    </w:rPr>
  </w:style>
  <w:style w:type="character" w:customStyle="1" w:styleId="22">
    <w:name w:val="font81"/>
    <w:basedOn w:val="9"/>
    <w:qFormat/>
    <w:uiPriority w:val="0"/>
    <w:rPr>
      <w:rFonts w:ascii="Arial" w:hAnsi="Arial" w:cs="Arial"/>
      <w:color w:val="000000"/>
      <w:sz w:val="24"/>
      <w:szCs w:val="24"/>
      <w:u w:val="none"/>
    </w:rPr>
  </w:style>
  <w:style w:type="character" w:customStyle="1" w:styleId="23">
    <w:name w:val="font41"/>
    <w:basedOn w:val="9"/>
    <w:qFormat/>
    <w:uiPriority w:val="0"/>
    <w:rPr>
      <w:rFonts w:hint="eastAsia" w:ascii="宋体" w:hAnsi="宋体" w:eastAsia="宋体" w:cs="宋体"/>
      <w:color w:val="000000"/>
      <w:sz w:val="21"/>
      <w:szCs w:val="21"/>
      <w:u w:val="none"/>
    </w:rPr>
  </w:style>
  <w:style w:type="character" w:customStyle="1" w:styleId="24">
    <w:name w:val="font141"/>
    <w:basedOn w:val="9"/>
    <w:qFormat/>
    <w:uiPriority w:val="0"/>
    <w:rPr>
      <w:rFonts w:ascii="方正小标宋_GBK" w:hAnsi="方正小标宋_GBK" w:eastAsia="方正小标宋_GBK" w:cs="方正小标宋_GBK"/>
      <w:color w:val="000000"/>
      <w:sz w:val="36"/>
      <w:szCs w:val="36"/>
      <w:u w:val="none"/>
    </w:rPr>
  </w:style>
  <w:style w:type="character" w:customStyle="1" w:styleId="25">
    <w:name w:val="font151"/>
    <w:basedOn w:val="9"/>
    <w:qFormat/>
    <w:uiPriority w:val="0"/>
    <w:rPr>
      <w:rFonts w:hint="default" w:ascii="Times New Roman" w:hAnsi="Times New Roman" w:cs="Times New Roman"/>
      <w:color w:val="000000"/>
      <w:sz w:val="20"/>
      <w:szCs w:val="20"/>
      <w:u w:val="none"/>
    </w:rPr>
  </w:style>
  <w:style w:type="character" w:customStyle="1" w:styleId="26">
    <w:name w:val="font131"/>
    <w:basedOn w:val="9"/>
    <w:qFormat/>
    <w:uiPriority w:val="0"/>
    <w:rPr>
      <w:rFonts w:hint="eastAsia" w:ascii="仿宋" w:hAnsi="仿宋" w:eastAsia="仿宋" w:cs="仿宋"/>
      <w:color w:val="000000"/>
      <w:sz w:val="20"/>
      <w:szCs w:val="20"/>
      <w:u w:val="none"/>
    </w:rPr>
  </w:style>
  <w:style w:type="character" w:customStyle="1" w:styleId="27">
    <w:name w:val="font101"/>
    <w:basedOn w:val="9"/>
    <w:qFormat/>
    <w:uiPriority w:val="0"/>
    <w:rPr>
      <w:rFonts w:hint="default" w:ascii="Times New Roman" w:hAnsi="Times New Roman" w:cs="Times New Roman"/>
      <w:color w:val="000000"/>
      <w:sz w:val="20"/>
      <w:szCs w:val="20"/>
      <w:u w:val="none"/>
    </w:rPr>
  </w:style>
  <w:style w:type="character" w:customStyle="1" w:styleId="28">
    <w:name w:val="font161"/>
    <w:basedOn w:val="9"/>
    <w:qFormat/>
    <w:uiPriority w:val="0"/>
    <w:rPr>
      <w:rFonts w:hint="eastAsia" w:ascii="仿宋" w:hAnsi="仿宋" w:eastAsia="仿宋" w:cs="仿宋"/>
      <w:color w:val="000000"/>
      <w:sz w:val="18"/>
      <w:szCs w:val="18"/>
      <w:u w:val="none"/>
    </w:rPr>
  </w:style>
  <w:style w:type="character" w:customStyle="1" w:styleId="29">
    <w:name w:val="font171"/>
    <w:basedOn w:val="9"/>
    <w:qFormat/>
    <w:uiPriority w:val="0"/>
    <w:rPr>
      <w:rFonts w:hint="eastAsia" w:ascii="宋体" w:hAnsi="宋体" w:eastAsia="宋体" w:cs="宋体"/>
      <w:color w:val="000000"/>
      <w:sz w:val="16"/>
      <w:szCs w:val="16"/>
      <w:u w:val="none"/>
    </w:rPr>
  </w:style>
  <w:style w:type="character" w:customStyle="1" w:styleId="30">
    <w:name w:val="font181"/>
    <w:basedOn w:val="9"/>
    <w:qFormat/>
    <w:uiPriority w:val="0"/>
    <w:rPr>
      <w:rFonts w:hint="eastAsia" w:ascii="仿宋" w:hAnsi="仿宋" w:eastAsia="仿宋" w:cs="仿宋"/>
      <w:color w:val="000000"/>
      <w:sz w:val="18"/>
      <w:szCs w:val="18"/>
      <w:u w:val="none"/>
    </w:rPr>
  </w:style>
  <w:style w:type="character" w:customStyle="1" w:styleId="31">
    <w:name w:val="font112"/>
    <w:basedOn w:val="9"/>
    <w:qFormat/>
    <w:uiPriority w:val="0"/>
    <w:rPr>
      <w:rFonts w:hint="eastAsia" w:ascii="宋体" w:hAnsi="宋体" w:eastAsia="宋体" w:cs="宋体"/>
      <w:color w:val="000000"/>
      <w:sz w:val="18"/>
      <w:szCs w:val="18"/>
      <w:u w:val="none"/>
    </w:rPr>
  </w:style>
  <w:style w:type="character" w:customStyle="1" w:styleId="32">
    <w:name w:val="font191"/>
    <w:basedOn w:val="9"/>
    <w:qFormat/>
    <w:uiPriority w:val="0"/>
    <w:rPr>
      <w:rFonts w:hint="default" w:ascii="Times New Roman" w:hAnsi="Times New Roman" w:cs="Times New Roman"/>
      <w:color w:val="000000"/>
      <w:sz w:val="22"/>
      <w:szCs w:val="22"/>
      <w:u w:val="none"/>
    </w:rPr>
  </w:style>
  <w:style w:type="character" w:customStyle="1" w:styleId="33">
    <w:name w:val="font201"/>
    <w:basedOn w:val="9"/>
    <w:qFormat/>
    <w:uiPriority w:val="0"/>
    <w:rPr>
      <w:rFonts w:hint="eastAsia" w:ascii="宋体" w:hAnsi="宋体" w:eastAsia="宋体" w:cs="宋体"/>
      <w:color w:val="000000"/>
      <w:sz w:val="22"/>
      <w:szCs w:val="22"/>
      <w:u w:val="none"/>
    </w:rPr>
  </w:style>
  <w:style w:type="character" w:customStyle="1" w:styleId="34">
    <w:name w:val="font12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37482</Words>
  <Characters>44896</Characters>
  <Lines>69</Lines>
  <Paragraphs>19</Paragraphs>
  <TotalTime>8</TotalTime>
  <ScaleCrop>false</ScaleCrop>
  <LinksUpToDate>false</LinksUpToDate>
  <CharactersWithSpaces>46178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狮子座</cp:lastModifiedBy>
  <cp:lastPrinted>2022-07-27T12:55:00Z</cp:lastPrinted>
  <dcterms:modified xsi:type="dcterms:W3CDTF">2022-09-21T01:04:59Z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59647CD9D5354CD0AF11D4CC64D7B874</vt:lpwstr>
  </property>
</Properties>
</file>