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Autospacing="0" w:line="54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Autospacing="0" w:line="54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</w:rPr>
        <w:t>规范化药房建设标准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Autospacing="0" w:line="54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lang w:eastAsia="zh-CN"/>
        </w:rPr>
        <w:t>（综合性医院、专科医院、乡镇卫生院、街道社区卫生服务中心适用）</w:t>
      </w:r>
    </w:p>
    <w:bookmarkEnd w:id="0"/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Autospacing="0" w:line="54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药房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库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面积应与药品储备规模相适应。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应当根据药品质量要求，采取冷藏、防冻、防潮、防虫、防鼠等措施，防止药品污染、变质、失效。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二、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按照有关药品质量安全的规定分类存放药品。药品与非药品，内用药与外用药，中药材、中药饮片、危险药品与其他药品，应当分开存放。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过期变质、被污染等药品应当放置在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有明显标示的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不合格库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三、建立健全药品质量管理体系,完善药品购进、验收、储存、养护、调配及使用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、销毁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等环节的质量管理制度,制度内容至少包括药品进货验收制度、中药饮片管理制度、药品储存养护管理制度、药品出库复核制度、药品不良反应报告和监测管理制度,并明确各环节中工作人员的岗位责任。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四、按岗位要求配备相应药学技术人员,负责药品质量管理工作。从事药品购进、保管、养护、验收、调配、使用的人员,应经过药事法规和药学专业知识的培训,并建立培训档案。每年组织直接接触药品人员进行健康检查,并建立健康档案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、医疗机构必须从具有药品生产、经营资质的企业购进药品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应当建立并执行进货检查验收制度，验明药品合格证明和其他标识，不符合规定要求的，不得购进和使用。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购进药品应索取和留存合法票据,并建立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真实完整的药品购进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记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录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。购进需要保持冷链运输条件的冷藏、冷冻药品时,应对其运输方式及运输过程的温湿度记录、运输时间等质量状况进行重点检查并记录,不符合要求的应当拒绝接收。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六、药房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库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的硬件设施应满足药品储存要求,将药品储存于符合规定要求的环境下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并做好检查、养护记录,建立养护档案。药品出库应当遵循近效期先出的原则,过期、变质、失效以及其他不合格药品不得出库使用。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七、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具有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特殊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管理要求的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药品的管理按照国家有关规定执行,严格按照相关行政法规的规定存放、调配和使用,具有相应安全保障措施,票、账、货相符。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麻醉药品、一类精神药品、医疗用毒性药品、放射性药品、戒毒药品，应当专库或者专柜存放，双人双锁保管，专帐记录。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八、药品应凭医生处方调配使用,配备药学技术人员负责处方的审核、调配工作,用于调配药品的工具、设施、包装用品以及调配药品的区域,应当符合药品卫生要求及相应的调配要求。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九、按照《药品不良反应报告和监测管理办法》之规定,建立药品不良反应报告和监测管理制度,并开展药品不良反应报告和监测工作。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十、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无医疗机构制剂许可证的，不得配制制剂。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（说明：以上标准为根据法律法规归纳的最基本要求，各建设单位除达到以上标准外，须遵守法律法规的各项具体规定）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F3A29"/>
    <w:multiLevelType w:val="singleLevel"/>
    <w:tmpl w:val="F5FF3A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7DF2"/>
    <w:rsid w:val="FFF7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2023-08-25T15:57:00Z</dcterms:created>
  <dc:creator>greatwall</dc:creator>
  <cp:lastModifiedBy>greatwall</cp:lastModifiedBy>
  <dcterms:modified xsi:type="dcterms:W3CDTF">2023-08-25T15:58:18Z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