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附件2     </w:t>
      </w:r>
    </w:p>
    <w:p>
      <w:pPr>
        <w:wordWrap w:val="0"/>
        <w:adjustRightInd w:val="0"/>
        <w:snapToGrid w:val="0"/>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湖南省市场监管系统城镇燃气安全专项整治工作进展情况表</w:t>
      </w:r>
    </w:p>
    <w:bookmarkEnd w:id="0"/>
    <w:p>
      <w:pPr>
        <w:spacing w:line="600" w:lineRule="exact"/>
        <w:jc w:val="center"/>
        <w:rPr>
          <w:rFonts w:ascii="方正小标宋_GBK" w:hAnsi="Times New Roman" w:eastAsia="方正小标宋_GBK"/>
          <w:sz w:val="44"/>
          <w:szCs w:val="44"/>
        </w:rPr>
      </w:pPr>
    </w:p>
    <w:p>
      <w:pPr>
        <w:widowControl/>
        <w:adjustRightInd w:val="0"/>
        <w:snapToGrid w:val="0"/>
        <w:spacing w:line="240" w:lineRule="atLeast"/>
        <w:jc w:val="left"/>
        <w:textAlignment w:val="center"/>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rPr>
        <w:t>填报单位：                                填表人：                                 联系电话：</w:t>
      </w:r>
    </w:p>
    <w:tbl>
      <w:tblPr>
        <w:tblStyle w:val="4"/>
        <w:tblW w:w="14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766"/>
        <w:gridCol w:w="753"/>
        <w:gridCol w:w="821"/>
        <w:gridCol w:w="778"/>
        <w:gridCol w:w="810"/>
        <w:gridCol w:w="903"/>
        <w:gridCol w:w="948"/>
        <w:gridCol w:w="976"/>
        <w:gridCol w:w="1015"/>
        <w:gridCol w:w="1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6"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序号</w:t>
            </w:r>
          </w:p>
        </w:tc>
        <w:tc>
          <w:tcPr>
            <w:tcW w:w="5746"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排查整治内容</w:t>
            </w:r>
          </w:p>
        </w:tc>
        <w:tc>
          <w:tcPr>
            <w:tcW w:w="750"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工作</w:t>
            </w:r>
          </w:p>
          <w:p>
            <w:pPr>
              <w:widowControl/>
              <w:adjustRightInd w:val="0"/>
              <w:snapToGrid w:val="0"/>
              <w:spacing w:line="240" w:lineRule="atLeast"/>
              <w:jc w:val="center"/>
              <w:textAlignment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开展</w:t>
            </w:r>
          </w:p>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情况</w:t>
            </w:r>
          </w:p>
        </w:tc>
        <w:tc>
          <w:tcPr>
            <w:tcW w:w="818"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检查</w:t>
            </w:r>
          </w:p>
          <w:p>
            <w:pPr>
              <w:widowControl/>
              <w:adjustRightInd w:val="0"/>
              <w:snapToGrid w:val="0"/>
              <w:spacing w:line="240" w:lineRule="atLeast"/>
              <w:jc w:val="center"/>
              <w:textAlignment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次数</w:t>
            </w:r>
          </w:p>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（次）</w:t>
            </w:r>
          </w:p>
        </w:tc>
        <w:tc>
          <w:tcPr>
            <w:tcW w:w="775"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发现隐患问题（个）</w:t>
            </w:r>
          </w:p>
        </w:tc>
        <w:tc>
          <w:tcPr>
            <w:tcW w:w="807"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已完成整改（个）</w:t>
            </w:r>
          </w:p>
        </w:tc>
        <w:tc>
          <w:tcPr>
            <w:tcW w:w="900"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行政处罚次数（次）</w:t>
            </w:r>
          </w:p>
        </w:tc>
        <w:tc>
          <w:tcPr>
            <w:tcW w:w="945"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责令关停企业个数（个）</w:t>
            </w:r>
          </w:p>
        </w:tc>
        <w:tc>
          <w:tcPr>
            <w:tcW w:w="973"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吊销许可证个数（个）</w:t>
            </w:r>
          </w:p>
        </w:tc>
        <w:tc>
          <w:tcPr>
            <w:tcW w:w="1012"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累计执法处罚金额</w:t>
            </w:r>
            <w:r>
              <w:rPr>
                <w:rFonts w:hint="default" w:ascii="Times New Roman" w:hAnsi="Times New Roman" w:eastAsia="仿宋_GB2312" w:cs="Times New Roman"/>
                <w:b/>
                <w:kern w:val="0"/>
                <w:sz w:val="24"/>
              </w:rPr>
              <w:br w:type="textWrapping"/>
            </w:r>
            <w:r>
              <w:rPr>
                <w:rFonts w:hint="default" w:ascii="Times New Roman" w:hAnsi="Times New Roman" w:eastAsia="仿宋_GB2312" w:cs="Times New Roman"/>
                <w:b/>
                <w:kern w:val="0"/>
                <w:sz w:val="24"/>
              </w:rPr>
              <w:t>（万元）</w:t>
            </w:r>
          </w:p>
        </w:tc>
        <w:tc>
          <w:tcPr>
            <w:tcW w:w="1338" w:type="dxa"/>
            <w:tcBorders>
              <w:tl2br w:val="nil"/>
              <w:tr2bl w:val="nil"/>
            </w:tcBorders>
            <w:noWrap w:val="0"/>
            <w:tcMar>
              <w:top w:w="0" w:type="dxa"/>
              <w:left w:w="0" w:type="dxa"/>
              <w:bottom w:w="0" w:type="dxa"/>
              <w:right w:w="0"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（一）深入排查整治企业生产、充装、经营“问题气”等安全风险和事故隐患。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1</w:t>
            </w: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1-1 对未取得许可的企业从事燃气充装的，要依法责令关停；</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6"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1-2 对城镇燃气充装企业不再符合许可条件或未按许可规定充装的，要依法责令限期改正，情节严重的，吊销气瓶充装许可证；</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626"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2</w:t>
            </w: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城镇燃气充装企业落实全员安全生产责任制不到位、主要负责人和安全生产管理人员未经专业培训并考核合格、特种设备作业人员无从业资格证书的，要依法责令限期改正，并对企业及主要负责人、相关责任人等依法从重处罚。</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626"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3</w:t>
            </w: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3-1 对城镇燃气充装企业在充装时非法掺混二甲醚，违规充装非自有气瓶、超期未检气瓶、不合格气瓶、超出使用年限或翻新等气瓶，未依法开展气瓶检验检测的，要依法责令限期改正，情节严重的，吊销气瓶充装许可证。</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6"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3-2 查处的气瓶必须移交气瓶检验机构报废处理，严禁不合格气瓶再次流入市场。</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（二）深入排查整治“问题瓶”、“问题阀”、“问题软管”等燃气具安全风险和事故隐患。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26"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w:t>
            </w: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4-1 对企业未取得制造许可或者不具备生产条件仍从事气瓶和压力管道元件生产的，要依法责令关停；</w:t>
            </w:r>
          </w:p>
        </w:tc>
        <w:tc>
          <w:tcPr>
            <w:tcW w:w="750"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818"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775"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807"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00"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45"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73"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1012"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1338"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26"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4-2 已取得制造许可的企业生产不符合国家标准“问题瓶”的，要依法责令限期改正，情节严重的，吊销制造许可证书。构成犯罪的，依法追究刑事责任。</w:t>
            </w:r>
          </w:p>
        </w:tc>
        <w:tc>
          <w:tcPr>
            <w:tcW w:w="750"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818"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775"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807"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00"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45"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973"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1012" w:type="dxa"/>
            <w:tcBorders>
              <w:tl2br w:val="nil"/>
              <w:tr2bl w:val="nil"/>
            </w:tcBorders>
            <w:noWrap w:val="0"/>
            <w:vAlign w:val="center"/>
          </w:tcPr>
          <w:p>
            <w:pPr>
              <w:widowControl/>
              <w:adjustRightInd w:val="0"/>
              <w:snapToGrid w:val="0"/>
              <w:spacing w:line="240" w:lineRule="atLeast"/>
              <w:jc w:val="left"/>
              <w:rPr>
                <w:rFonts w:hint="default" w:ascii="Times New Roman" w:hAnsi="Times New Roman" w:eastAsia="仿宋_GB2312" w:cs="Times New Roman"/>
                <w:b/>
                <w:sz w:val="24"/>
              </w:rPr>
            </w:pPr>
          </w:p>
        </w:tc>
        <w:tc>
          <w:tcPr>
            <w:tcW w:w="1338"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626"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5</w:t>
            </w:r>
          </w:p>
        </w:tc>
        <w:tc>
          <w:tcPr>
            <w:tcW w:w="5746" w:type="dxa"/>
            <w:tcBorders>
              <w:tl2br w:val="nil"/>
              <w:tr2bl w:val="nil"/>
            </w:tcBorders>
            <w:noWrap w:val="0"/>
            <w:vAlign w:val="center"/>
          </w:tcPr>
          <w:p>
            <w:pPr>
              <w:widowControl/>
              <w:adjustRightInd w:val="0"/>
              <w:snapToGrid w:val="0"/>
              <w:spacing w:line="240" w:lineRule="atLeas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对发现存在安全隐患的气瓶立即查封扣押，纳入产品“黑名单”。对不符合国家标准的在用“气液双相”气瓶要召回并移交检验机构报废处理。</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6</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6-1 对企业生产不符合产品安全标准的可燃气体探测器及燃气紧急切断阀、调压器、连接软管、灶具等燃气具及配件的行为要严厉查处，责令停止生产销售，没收违法生产销售的产品，情节严重的吊销营业执照，纳入严重违法失信企业名单，并对企业及相关人员实施联合惩戒。对发现的涉嫌不符合安全标准的产品要及时查封扣押，防止流入市场；</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vMerge w:val="restart"/>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6-2 对制售假冒伪劣产品的，坚决依法从快从重打击，构成犯罪的，严厉追究相关人员刑事责任。及时曝光典型案例，强化执法震慑。</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vMerge w:val="continue"/>
            <w:tcBorders>
              <w:tl2br w:val="nil"/>
              <w:tr2bl w:val="nil"/>
            </w:tcBorders>
            <w:noWrap w:val="0"/>
            <w:vAlign w:val="center"/>
          </w:tcPr>
          <w:p>
            <w:pPr>
              <w:widowControl/>
              <w:adjustRightInd w:val="0"/>
              <w:snapToGrid w:val="0"/>
              <w:spacing w:line="240" w:lineRule="atLeast"/>
              <w:jc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7</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企业违规在有形市场或电商平台销售不符合安全标准、强制性认证要求、假冒伪劣的“问题瓶”及“问题阀”、“问题软管”、“问题灶”等燃气具及配件的，要责令立即停止违法行为，对相关人员处以罚款、实施联合惩戒等；构成犯罪的，依法追究刑事责任。对发现的不合格产品立即下架处理，追踪溯源，实施源头治理。</w:t>
            </w:r>
          </w:p>
        </w:tc>
        <w:tc>
          <w:tcPr>
            <w:tcW w:w="75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240" w:lineRule="atLeas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240" w:lineRule="atLeas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（三）深入排查整治“问题管网”等燃气输送配送安全风险和事故隐患。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8</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对特种设备检验检测机构未严格按照规范要求开展燃气压力容器、压力管道定期检验检测，检验人员挂证、检验人员无证操作、检验报告弄虚作假的，要依法责令限期改正，情节严重的，吊销机构资质。</w:t>
            </w:r>
          </w:p>
        </w:tc>
        <w:tc>
          <w:tcPr>
            <w:tcW w:w="75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（四）深入排查整治餐饮企业“问题环境”等安全风险和事故隐患。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9</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有关部门单位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并追究刑事责任。</w:t>
            </w:r>
          </w:p>
        </w:tc>
        <w:tc>
          <w:tcPr>
            <w:tcW w:w="75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（五）深入排查整治燃气安全监管执法环节突出问题。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10</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对未建立责任倒查机制、排查整治措施和责任不实不细不落基层、监管执法“宽松虚软”等问题加强督促检查。</w:t>
            </w:r>
          </w:p>
        </w:tc>
        <w:tc>
          <w:tcPr>
            <w:tcW w:w="75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11</w:t>
            </w:r>
          </w:p>
        </w:tc>
        <w:tc>
          <w:tcPr>
            <w:tcW w:w="5746" w:type="dxa"/>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对气瓶、燃气具及配件、可燃气体探测器及燃气紧急切断阀生产销售企业加强监管执法，切实将假冒伪劣产品清出市场。及时将执法情况公开、发挥社会监督作用，引导用户自觉选择安全产品。</w:t>
            </w:r>
          </w:p>
        </w:tc>
        <w:tc>
          <w:tcPr>
            <w:tcW w:w="75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18"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77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807"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00"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45"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973"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012" w:type="dxa"/>
            <w:tcBorders>
              <w:tl2br w:val="nil"/>
              <w:tr2bl w:val="nil"/>
            </w:tcBorders>
            <w:noWrap w:val="0"/>
            <w:vAlign w:val="center"/>
          </w:tcPr>
          <w:p>
            <w:pPr>
              <w:widowControl/>
              <w:adjustRightInd w:val="0"/>
              <w:snapToGrid w:val="0"/>
              <w:spacing w:line="320" w:lineRule="exact"/>
              <w:rPr>
                <w:rFonts w:hint="default" w:ascii="Times New Roman" w:hAnsi="Times New Roman" w:eastAsia="仿宋_GB2312" w:cs="Times New Roman"/>
                <w:sz w:val="24"/>
              </w:rPr>
            </w:pPr>
          </w:p>
        </w:tc>
        <w:tc>
          <w:tcPr>
            <w:tcW w:w="1338" w:type="dxa"/>
            <w:tcBorders>
              <w:tl2br w:val="nil"/>
              <w:tr2bl w:val="nil"/>
            </w:tcBorders>
            <w:noWrap w:val="0"/>
            <w:vAlign w:val="center"/>
          </w:tcPr>
          <w:p>
            <w:pPr>
              <w:widowControl/>
              <w:adjustRightInd w:val="0"/>
              <w:snapToGrid w:val="0"/>
              <w:spacing w:line="320" w:lineRule="exact"/>
              <w:jc w:val="center"/>
              <w:textAlignment w:val="center"/>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90" w:type="dxa"/>
            <w:gridSpan w:val="11"/>
            <w:tcBorders>
              <w:tl2br w:val="nil"/>
              <w:tr2bl w:val="nil"/>
            </w:tcBorders>
            <w:noWrap w:val="0"/>
            <w:vAlign w:val="center"/>
          </w:tcPr>
          <w:p>
            <w:pPr>
              <w:widowControl/>
              <w:adjustRightInd w:val="0"/>
              <w:snapToGrid w:val="0"/>
              <w:spacing w:line="320" w:lineRule="exac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备注：本表每月23日前上报省局专班，市州局专班要对数据进行认真把关，确保数据准确性。</w:t>
            </w:r>
          </w:p>
        </w:tc>
      </w:tr>
    </w:tbl>
    <w:p/>
    <w:sectPr>
      <w:pgSz w:w="16838" w:h="11906" w:orient="landscape"/>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AC2E6"/>
    <w:rsid w:val="F9DAC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_GB2312"/>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2023-10-11T15:17:00Z</dcterms:created>
  <dc:creator>greatwall</dc:creator>
  <cp:lastModifiedBy>greatwall</cp:lastModifiedBy>
  <dcterms:modified xsi:type="dcterms:W3CDTF">2023-10-11T15:18:41Z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