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Autospacing="0" w:line="56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</w:rPr>
        <w:t>规范化药房建设标准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（卫生室、个体诊所适用）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一、药房面积应与药品储备规模相适应。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应当根据药品质量要求，采取冷藏、防冻、防潮、避光、通风、防火、防虫、防鼠等措施，防止药品污染、变质、失效。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二、过期变质、被污染等药品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及时清理下柜，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集中存放于固定区间并标示为不合格药品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、直接接触药品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的工作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人员每年进行健康检查,并建立健康档案。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、医疗机构必须从具有药品生产、经营资质的企业购进药品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应当建立并执行进货检查验收制度，验明药品合格证明和其他标识，不符合规定要求的，不得购进和使用。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购进药品应索取和留存合法票据,并建立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真实完整的药品购进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记录。购进需要保持冷链运输条件的冷藏、冷冻药品时,应对其运输方式及运输过程的温湿度记录、运输时间等质量状况进行重点检查并记录,不符合要求的应当拒绝接收。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、药品应凭医生处方调配使用,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药品使用处方应留存备查，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不得以邮寄、伪造处方、柜台开架自选和义诊、义卖、咨询、试用、展销会名义及其他方式经营或者变相经营药品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、按照《药品不良反应报告和监测管理办法》规定,建立药品不良反应报告和监测管理制度,并开展工作。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七、无医疗机构制剂许可证的，不得配制制剂。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（说明：以上标准为根据法律法规归纳的最基本要求，各建设单位除达到以上标准外，须遵守法律法规的各项具体规定）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F7100"/>
    <w:rsid w:val="FF5F7100"/>
    <w:rsid w:val="FF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2024-04-02T09:59:00Z</dcterms:created>
  <dc:creator>greatwall</dc:creator>
  <cp:lastModifiedBy>greatwall</cp:lastModifiedBy>
  <dcterms:modified xsi:type="dcterms:W3CDTF">2024-04-02T10:01:05Z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