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ascii="方正小标宋_GBK" w:eastAsia="方正小标宋_GBK"/>
          <w:b/>
          <w:bCs/>
          <w:color w:val="0C0C0C"/>
          <w:sz w:val="44"/>
          <w:szCs w:val="44"/>
        </w:rPr>
      </w:pPr>
      <w:r>
        <w:rPr>
          <w:rFonts w:hint="eastAsia" w:ascii="方正小标宋_GBK" w:eastAsia="方正小标宋_GBK"/>
          <w:b/>
          <w:bCs/>
          <w:color w:val="0C0C0C"/>
          <w:sz w:val="44"/>
          <w:szCs w:val="44"/>
        </w:rPr>
        <w:t>常德市市场监督管理局</w:t>
      </w:r>
    </w:p>
    <w:p>
      <w:pPr>
        <w:snapToGrid w:val="0"/>
        <w:spacing w:line="240" w:lineRule="auto"/>
        <w:jc w:val="center"/>
        <w:rPr>
          <w:rFonts w:eastAsia="仿宋_GB2312"/>
          <w:b/>
          <w:bCs/>
          <w:color w:val="0C0C0C"/>
          <w:sz w:val="44"/>
          <w:szCs w:val="44"/>
        </w:rPr>
      </w:pPr>
      <w:r>
        <w:rPr>
          <w:rFonts w:hint="eastAsia" w:ascii="方正小标宋_GBK" w:eastAsia="方正小标宋_GBK"/>
          <w:b/>
          <w:bCs/>
          <w:color w:val="0C0C0C"/>
          <w:sz w:val="44"/>
          <w:szCs w:val="44"/>
        </w:rPr>
        <w:t>2019年度整体支出绩效评价报告</w:t>
      </w:r>
    </w:p>
    <w:p>
      <w:pPr>
        <w:snapToGrid w:val="0"/>
        <w:spacing w:line="240" w:lineRule="auto"/>
        <w:jc w:val="center"/>
        <w:rPr>
          <w:rFonts w:eastAsia="仿宋_GB2312"/>
          <w:b/>
          <w:bCs/>
          <w:color w:val="0C0C0C"/>
          <w:sz w:val="44"/>
          <w:szCs w:val="44"/>
        </w:rPr>
      </w:pPr>
    </w:p>
    <w:p>
      <w:pPr>
        <w:pStyle w:val="4"/>
        <w:spacing w:before="0" w:beforeAutospacing="0" w:after="0" w:afterAutospacing="0"/>
        <w:ind w:firstLine="480"/>
        <w:rPr>
          <w:rFonts w:hint="eastAsia" w:ascii="Times New Roman" w:hAnsi="Times New Roman" w:eastAsia="仿宋_GB2312" w:cs="Times New Roman"/>
          <w:sz w:val="32"/>
          <w:szCs w:val="32"/>
          <w:lang w:eastAsia="zh-CN"/>
        </w:rPr>
      </w:pPr>
      <w:r>
        <w:rPr>
          <w:rFonts w:ascii="Times New Roman" w:hAnsi="Times New Roman" w:eastAsia="仿宋_GB2312" w:cs="Times New Roman"/>
        </w:rPr>
        <w:t xml:space="preserve"> </w:t>
      </w:r>
      <w:r>
        <w:rPr>
          <w:rFonts w:ascii="Times New Roman" w:hAnsi="Times New Roman" w:eastAsia="仿宋_GB2312" w:cs="Times New Roman"/>
          <w:sz w:val="32"/>
          <w:szCs w:val="32"/>
        </w:rPr>
        <w:t xml:space="preserve"> 根据《中共中央 国务院关于全面实施预算绩效管理的意见》(中发[2018]34号)、《湖南省人民政府关于全面推进预算绩效管理的意见》(湘政发 [2012]33号)和《关于明确2020年度市本级预算绩效管理目标任务的通知》（常财办发[2020]14号）等文件相关要求，我局组织力量按照 </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科学规范、公正公开、分类管理、绩效相关</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的原则，运用科学、合理的绩效评价指标、评价标准和评价方法，对我局（</w:t>
      </w:r>
      <w:r>
        <w:rPr>
          <w:rFonts w:hint="eastAsia" w:ascii="Times New Roman" w:hAnsi="Times New Roman" w:eastAsia="仿宋_GB2312" w:cs="Times New Roman"/>
          <w:sz w:val="32"/>
          <w:szCs w:val="32"/>
          <w:lang w:eastAsia="zh-CN"/>
        </w:rPr>
        <w:t>系统</w:t>
      </w:r>
      <w:r>
        <w:rPr>
          <w:rFonts w:ascii="Times New Roman" w:hAnsi="Times New Roman" w:eastAsia="仿宋_GB2312" w:cs="Times New Roman"/>
          <w:sz w:val="32"/>
          <w:szCs w:val="32"/>
        </w:rPr>
        <w:t>）2019年度部门整体支出的绩效情况进行了客观、公正的评价。现将自评情况报告如下</w:t>
      </w:r>
      <w:r>
        <w:rPr>
          <w:rFonts w:hint="eastAsia" w:ascii="Times New Roman" w:hAnsi="Times New Roman" w:eastAsia="仿宋_GB2312" w:cs="Times New Roman"/>
          <w:sz w:val="32"/>
          <w:szCs w:val="32"/>
          <w:lang w:eastAsia="zh-CN"/>
        </w:rPr>
        <w:t>：</w:t>
      </w:r>
    </w:p>
    <w:p>
      <w:pPr>
        <w:widowControl/>
        <w:spacing w:line="240" w:lineRule="auto"/>
        <w:ind w:firstLine="640" w:firstLineChars="200"/>
        <w:jc w:val="left"/>
        <w:rPr>
          <w:rFonts w:ascii="黑体" w:hAnsi="黑体" w:eastAsia="黑体"/>
          <w:kern w:val="0"/>
          <w:sz w:val="32"/>
          <w:szCs w:val="32"/>
        </w:rPr>
      </w:pPr>
      <w:r>
        <w:rPr>
          <w:rFonts w:ascii="黑体" w:hAnsi="黑体" w:eastAsia="黑体"/>
          <w:kern w:val="0"/>
          <w:sz w:val="32"/>
          <w:szCs w:val="32"/>
        </w:rPr>
        <w:t>一、部门概况</w:t>
      </w:r>
    </w:p>
    <w:p>
      <w:pPr>
        <w:widowControl/>
        <w:spacing w:line="240" w:lineRule="auto"/>
        <w:ind w:firstLine="480" w:firstLineChars="150"/>
        <w:jc w:val="left"/>
        <w:rPr>
          <w:rFonts w:hint="eastAsia" w:ascii="楷体_GB2312" w:eastAsia="楷体_GB2312"/>
          <w:kern w:val="0"/>
          <w:sz w:val="32"/>
          <w:szCs w:val="32"/>
        </w:rPr>
      </w:pPr>
      <w:r>
        <w:rPr>
          <w:rFonts w:hint="eastAsia" w:ascii="楷体_GB2312" w:eastAsia="楷体_GB2312"/>
          <w:kern w:val="0"/>
          <w:sz w:val="32"/>
          <w:szCs w:val="32"/>
        </w:rPr>
        <w:t>（一） 机构、人员构成</w:t>
      </w:r>
    </w:p>
    <w:p>
      <w:pPr>
        <w:widowControl/>
        <w:spacing w:line="240" w:lineRule="auto"/>
        <w:ind w:firstLine="640" w:firstLineChars="200"/>
        <w:jc w:val="left"/>
        <w:rPr>
          <w:rFonts w:eastAsia="仿宋_GB2312"/>
          <w:color w:val="000000"/>
          <w:sz w:val="32"/>
          <w:szCs w:val="32"/>
        </w:rPr>
      </w:pPr>
      <w:r>
        <w:rPr>
          <w:rFonts w:eastAsia="仿宋_GB2312"/>
          <w:kern w:val="0"/>
          <w:sz w:val="32"/>
          <w:szCs w:val="32"/>
        </w:rPr>
        <w:t>根据市委编办核定，</w:t>
      </w:r>
      <w:r>
        <w:rPr>
          <w:rFonts w:eastAsia="仿宋_GB2312"/>
          <w:color w:val="000000"/>
          <w:sz w:val="32"/>
          <w:szCs w:val="32"/>
        </w:rPr>
        <w:t>常德市市场监督管理局（以下简称市市场监管局）内设科室34个（3个科室合署办公），1个直属机关党委（</w:t>
      </w:r>
      <w:r>
        <w:rPr>
          <w:rFonts w:hint="eastAsia" w:eastAsia="仿宋_GB2312"/>
          <w:color w:val="000000"/>
          <w:sz w:val="32"/>
          <w:szCs w:val="32"/>
          <w:lang w:eastAsia="zh-CN"/>
        </w:rPr>
        <w:t>机关纪委</w:t>
      </w:r>
      <w:r>
        <w:rPr>
          <w:rFonts w:eastAsia="仿宋_GB2312"/>
          <w:color w:val="000000"/>
          <w:sz w:val="32"/>
          <w:szCs w:val="32"/>
        </w:rPr>
        <w:t>与其合署办公），1个离退休人员管理服务科</w:t>
      </w:r>
      <w:r>
        <w:rPr>
          <w:rFonts w:hint="eastAsia" w:eastAsia="仿宋_GB2312"/>
          <w:color w:val="000000"/>
          <w:sz w:val="32"/>
          <w:szCs w:val="32"/>
          <w:lang w:eastAsia="zh-CN"/>
        </w:rPr>
        <w:t>，</w:t>
      </w:r>
      <w:r>
        <w:rPr>
          <w:rFonts w:hint="eastAsia" w:eastAsia="仿宋_GB2312"/>
          <w:color w:val="000000"/>
          <w:sz w:val="32"/>
          <w:szCs w:val="32"/>
          <w:lang w:val="en-US" w:eastAsia="zh-CN"/>
        </w:rPr>
        <w:t>1个机关工会</w:t>
      </w:r>
      <w:r>
        <w:rPr>
          <w:rFonts w:eastAsia="仿宋_GB2312"/>
          <w:color w:val="000000"/>
          <w:sz w:val="32"/>
          <w:szCs w:val="32"/>
        </w:rPr>
        <w:t>。挂靠未独立核算事业单位7个</w:t>
      </w:r>
      <w:r>
        <w:rPr>
          <w:rFonts w:hint="eastAsia" w:eastAsia="仿宋_GB2312"/>
          <w:color w:val="000000"/>
          <w:sz w:val="32"/>
          <w:szCs w:val="32"/>
          <w:lang w:eastAsia="zh-CN"/>
        </w:rPr>
        <w:t>、独立核算事业单位</w:t>
      </w:r>
      <w:r>
        <w:rPr>
          <w:rFonts w:hint="eastAsia" w:eastAsia="仿宋_GB2312"/>
          <w:color w:val="000000"/>
          <w:sz w:val="32"/>
          <w:szCs w:val="32"/>
          <w:lang w:val="en-US" w:eastAsia="zh-CN"/>
        </w:rPr>
        <w:t>7个</w:t>
      </w:r>
      <w:r>
        <w:rPr>
          <w:rFonts w:eastAsia="仿宋_GB2312"/>
          <w:color w:val="000000"/>
          <w:sz w:val="32"/>
          <w:szCs w:val="32"/>
        </w:rPr>
        <w:t>。</w:t>
      </w:r>
    </w:p>
    <w:p>
      <w:pPr>
        <w:widowControl/>
        <w:spacing w:line="240" w:lineRule="auto"/>
        <w:ind w:firstLine="640" w:firstLineChars="200"/>
        <w:jc w:val="left"/>
        <w:rPr>
          <w:rFonts w:eastAsia="仿宋_GB2312"/>
          <w:kern w:val="0"/>
          <w:sz w:val="32"/>
          <w:szCs w:val="32"/>
        </w:rPr>
      </w:pPr>
      <w:r>
        <w:rPr>
          <w:rFonts w:eastAsia="仿宋_GB2312"/>
          <w:kern w:val="0"/>
          <w:sz w:val="32"/>
          <w:szCs w:val="32"/>
        </w:rPr>
        <w:t>内设科室分别是：办公室、人事科、财务科（科技科与其合署办公）、综合研究室、法制科、信用监督管理科、网络交易监督管理科、广告监督管理科、质量发展科、产品质量安全监督管理科、食品安全协调科、食品生产安全监督管理科、食品流通监督管理科、食品消费监督管理科、食品安全抽检监测科、特殊食品安全监督管理科、特种设备安全监察科（特种设备事故调查处理办公室）、计量科、标准化科、认证监督管理科、知识产权促进科、知识产权保护科、知识产权运用科、消费者权益保护科、价格监督检查与反不正当竞争科、新闻宣传与应急管理科、药品注册管理和科技科、药品生产监督管理科、药品流通监督管理科、医疗器械监督管理科、化妆品监督管理科、行政审批服务办公室（登记注册科与其合署办公）、投诉举报办公室、非公经济组织党建指导科（民营经济发展科与其合署办公）。</w:t>
      </w:r>
    </w:p>
    <w:p>
      <w:pPr>
        <w:widowControl/>
        <w:spacing w:line="240" w:lineRule="auto"/>
        <w:ind w:firstLine="640" w:firstLineChars="200"/>
        <w:jc w:val="left"/>
        <w:rPr>
          <w:rFonts w:eastAsia="仿宋_GB2312"/>
          <w:kern w:val="0"/>
          <w:sz w:val="32"/>
          <w:szCs w:val="32"/>
        </w:rPr>
      </w:pPr>
      <w:r>
        <w:rPr>
          <w:rFonts w:eastAsia="仿宋_GB2312"/>
          <w:kern w:val="0"/>
          <w:sz w:val="32"/>
          <w:szCs w:val="32"/>
        </w:rPr>
        <w:t>所属7个未独立核算事业单位分别是：常德市消费者委员会、常德市个体私营经济指导中心、</w:t>
      </w:r>
      <w:r>
        <w:rPr>
          <w:rFonts w:hint="eastAsia" w:eastAsia="仿宋_GB2312"/>
          <w:kern w:val="0"/>
          <w:sz w:val="32"/>
          <w:szCs w:val="32"/>
          <w:lang w:eastAsia="zh-CN"/>
        </w:rPr>
        <w:t>原</w:t>
      </w:r>
      <w:r>
        <w:rPr>
          <w:rFonts w:eastAsia="仿宋_GB2312"/>
          <w:kern w:val="0"/>
          <w:sz w:val="32"/>
          <w:szCs w:val="32"/>
        </w:rPr>
        <w:t>常德市工商局信息中心、</w:t>
      </w:r>
      <w:r>
        <w:rPr>
          <w:rFonts w:hint="eastAsia" w:eastAsia="仿宋_GB2312"/>
          <w:kern w:val="0"/>
          <w:sz w:val="32"/>
          <w:szCs w:val="32"/>
          <w:lang w:eastAsia="zh-CN"/>
        </w:rPr>
        <w:t>原</w:t>
      </w:r>
      <w:r>
        <w:rPr>
          <w:rFonts w:eastAsia="仿宋_GB2312"/>
          <w:kern w:val="0"/>
          <w:sz w:val="32"/>
          <w:szCs w:val="32"/>
        </w:rPr>
        <w:t>常德市食品药品安全综合执法局、</w:t>
      </w:r>
      <w:r>
        <w:rPr>
          <w:rFonts w:hint="eastAsia" w:eastAsia="仿宋_GB2312"/>
          <w:kern w:val="0"/>
          <w:sz w:val="32"/>
          <w:szCs w:val="32"/>
          <w:lang w:eastAsia="zh-CN"/>
        </w:rPr>
        <w:t>原</w:t>
      </w:r>
      <w:r>
        <w:rPr>
          <w:rFonts w:eastAsia="仿宋_GB2312"/>
          <w:kern w:val="0"/>
          <w:sz w:val="32"/>
          <w:szCs w:val="32"/>
        </w:rPr>
        <w:t>常德市食品药品安全信息中心、</w:t>
      </w:r>
      <w:r>
        <w:rPr>
          <w:rFonts w:hint="eastAsia" w:eastAsia="仿宋_GB2312"/>
          <w:kern w:val="0"/>
          <w:sz w:val="32"/>
          <w:szCs w:val="32"/>
          <w:lang w:eastAsia="zh-CN"/>
        </w:rPr>
        <w:t>原</w:t>
      </w:r>
      <w:r>
        <w:rPr>
          <w:rFonts w:eastAsia="仿宋_GB2312"/>
          <w:kern w:val="0"/>
          <w:sz w:val="32"/>
          <w:szCs w:val="32"/>
        </w:rPr>
        <w:t>常德市食品药品审评认证与不良反应监测中心、</w:t>
      </w:r>
      <w:r>
        <w:rPr>
          <w:rFonts w:hint="eastAsia" w:eastAsia="仿宋_GB2312"/>
          <w:kern w:val="0"/>
          <w:sz w:val="32"/>
          <w:szCs w:val="32"/>
          <w:lang w:eastAsia="zh-CN"/>
        </w:rPr>
        <w:t>原</w:t>
      </w:r>
      <w:r>
        <w:rPr>
          <w:rFonts w:eastAsia="仿宋_GB2312"/>
          <w:kern w:val="0"/>
          <w:sz w:val="32"/>
          <w:szCs w:val="32"/>
        </w:rPr>
        <w:t>常德市价格监督检查局。</w:t>
      </w:r>
    </w:p>
    <w:p>
      <w:pPr>
        <w:pStyle w:val="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outlineLvl w:val="0"/>
        <w:rPr>
          <w:sz w:val="72"/>
          <w:szCs w:val="72"/>
        </w:rPr>
      </w:pPr>
      <w:r>
        <w:rPr>
          <w:rFonts w:ascii="Times New Roman" w:hAnsi="Times New Roman" w:eastAsia="仿宋_GB2312" w:cs="Times New Roman"/>
          <w:color w:val="auto"/>
          <w:kern w:val="0"/>
          <w:sz w:val="32"/>
          <w:szCs w:val="32"/>
          <w:lang w:val="en-US" w:eastAsia="zh-CN" w:bidi="ar-SA"/>
        </w:rPr>
        <w:t>所属7个独立核算事业单位</w:t>
      </w:r>
      <w:r>
        <w:rPr>
          <w:rFonts w:eastAsia="仿宋_GB2312"/>
          <w:kern w:val="0"/>
          <w:sz w:val="32"/>
          <w:szCs w:val="32"/>
        </w:rPr>
        <w:t>分别是：</w:t>
      </w:r>
      <w:r>
        <w:rPr>
          <w:rFonts w:hint="eastAsia" w:ascii="仿宋_GB2312" w:hAnsi="方正大标宋简体" w:eastAsia="仿宋_GB2312" w:cs="Times New Roman"/>
          <w:color w:val="auto"/>
          <w:kern w:val="2"/>
          <w:sz w:val="32"/>
          <w:szCs w:val="32"/>
          <w:lang w:val="en-US" w:eastAsia="zh-CN" w:bidi="ar-SA"/>
        </w:rPr>
        <w:t>市质量技术监督稽查支队、市产商品质量监督检验所、市计量测试检定所、市纤维检验监督管理局、市质量技术监督信息管理所、市食品检验所、市食品药品检验所。</w:t>
      </w:r>
    </w:p>
    <w:p>
      <w:pPr>
        <w:widowControl/>
        <w:spacing w:line="240" w:lineRule="auto"/>
        <w:ind w:firstLine="640" w:firstLineChars="200"/>
        <w:jc w:val="left"/>
        <w:rPr>
          <w:rFonts w:eastAsia="仿宋_GB2312"/>
          <w:kern w:val="0"/>
          <w:sz w:val="32"/>
          <w:szCs w:val="32"/>
          <w:highlight w:val="none"/>
        </w:rPr>
      </w:pPr>
      <w:r>
        <w:rPr>
          <w:rFonts w:eastAsia="仿宋_GB2312"/>
          <w:kern w:val="0"/>
          <w:sz w:val="32"/>
          <w:szCs w:val="32"/>
          <w:highlight w:val="none"/>
        </w:rPr>
        <w:t>截止2019年底，市市场监管局实有编制数</w:t>
      </w:r>
      <w:r>
        <w:rPr>
          <w:rFonts w:hint="eastAsia" w:eastAsia="仿宋_GB2312"/>
          <w:kern w:val="0"/>
          <w:sz w:val="32"/>
          <w:szCs w:val="32"/>
          <w:highlight w:val="none"/>
          <w:lang w:val="en-US" w:eastAsia="zh-CN"/>
        </w:rPr>
        <w:t>404</w:t>
      </w:r>
      <w:r>
        <w:rPr>
          <w:rFonts w:eastAsia="仿宋_GB2312"/>
          <w:kern w:val="0"/>
          <w:sz w:val="32"/>
          <w:szCs w:val="32"/>
          <w:highlight w:val="none"/>
        </w:rPr>
        <w:t>名，其中行政编制</w:t>
      </w:r>
      <w:r>
        <w:rPr>
          <w:rFonts w:hint="eastAsia" w:eastAsia="仿宋_GB2312"/>
          <w:kern w:val="0"/>
          <w:sz w:val="32"/>
          <w:szCs w:val="32"/>
          <w:highlight w:val="none"/>
          <w:lang w:val="en-US" w:eastAsia="zh-CN"/>
        </w:rPr>
        <w:t>152</w:t>
      </w:r>
      <w:r>
        <w:rPr>
          <w:rFonts w:eastAsia="仿宋_GB2312"/>
          <w:kern w:val="0"/>
          <w:sz w:val="32"/>
          <w:szCs w:val="32"/>
          <w:highlight w:val="none"/>
        </w:rPr>
        <w:t>名，参照公务员管理</w:t>
      </w:r>
      <w:r>
        <w:rPr>
          <w:rFonts w:hint="eastAsia" w:eastAsia="仿宋_GB2312"/>
          <w:kern w:val="0"/>
          <w:sz w:val="32"/>
          <w:szCs w:val="32"/>
          <w:highlight w:val="none"/>
          <w:lang w:val="en-US" w:eastAsia="zh-CN"/>
        </w:rPr>
        <w:t>94</w:t>
      </w:r>
      <w:r>
        <w:rPr>
          <w:rFonts w:eastAsia="仿宋_GB2312"/>
          <w:kern w:val="0"/>
          <w:sz w:val="32"/>
          <w:szCs w:val="32"/>
          <w:highlight w:val="none"/>
        </w:rPr>
        <w:t>人、事业编制</w:t>
      </w:r>
      <w:r>
        <w:rPr>
          <w:rFonts w:hint="eastAsia" w:eastAsia="仿宋_GB2312"/>
          <w:kern w:val="0"/>
          <w:sz w:val="32"/>
          <w:szCs w:val="32"/>
          <w:highlight w:val="none"/>
          <w:lang w:val="en-US" w:eastAsia="zh-CN"/>
        </w:rPr>
        <w:t>158</w:t>
      </w:r>
      <w:r>
        <w:rPr>
          <w:rFonts w:eastAsia="仿宋_GB2312"/>
          <w:kern w:val="0"/>
          <w:sz w:val="32"/>
          <w:szCs w:val="32"/>
          <w:highlight w:val="none"/>
        </w:rPr>
        <w:t>名。年末实有在编在职人员人数</w:t>
      </w:r>
      <w:r>
        <w:rPr>
          <w:rFonts w:hint="eastAsia" w:eastAsia="仿宋_GB2312"/>
          <w:kern w:val="0"/>
          <w:sz w:val="32"/>
          <w:szCs w:val="32"/>
          <w:highlight w:val="none"/>
          <w:lang w:val="en-US" w:eastAsia="zh-CN"/>
        </w:rPr>
        <w:t>394</w:t>
      </w:r>
      <w:r>
        <w:rPr>
          <w:rFonts w:eastAsia="仿宋_GB2312"/>
          <w:kern w:val="0"/>
          <w:sz w:val="32"/>
          <w:szCs w:val="32"/>
          <w:highlight w:val="none"/>
        </w:rPr>
        <w:t>人，</w:t>
      </w:r>
      <w:r>
        <w:rPr>
          <w:rFonts w:hint="eastAsia" w:eastAsia="仿宋_GB2312"/>
          <w:kern w:val="0"/>
          <w:sz w:val="32"/>
          <w:szCs w:val="32"/>
          <w:highlight w:val="none"/>
          <w:lang w:eastAsia="zh-CN"/>
        </w:rPr>
        <w:t>其中</w:t>
      </w:r>
      <w:r>
        <w:rPr>
          <w:rFonts w:eastAsia="仿宋_GB2312"/>
          <w:kern w:val="0"/>
          <w:sz w:val="32"/>
          <w:szCs w:val="32"/>
          <w:highlight w:val="none"/>
        </w:rPr>
        <w:t>行政人员136人，参照公务员人员</w:t>
      </w:r>
      <w:r>
        <w:rPr>
          <w:rFonts w:hint="eastAsia" w:eastAsia="仿宋_GB2312"/>
          <w:kern w:val="0"/>
          <w:sz w:val="32"/>
          <w:szCs w:val="32"/>
          <w:highlight w:val="none"/>
          <w:lang w:val="en-US" w:eastAsia="zh-CN"/>
        </w:rPr>
        <w:t>108</w:t>
      </w:r>
      <w:r>
        <w:rPr>
          <w:rFonts w:eastAsia="仿宋_GB2312"/>
          <w:kern w:val="0"/>
          <w:sz w:val="32"/>
          <w:szCs w:val="32"/>
          <w:highlight w:val="none"/>
        </w:rPr>
        <w:t>人、事业编制</w:t>
      </w:r>
      <w:r>
        <w:rPr>
          <w:rFonts w:hint="eastAsia" w:eastAsia="仿宋_GB2312"/>
          <w:kern w:val="0"/>
          <w:sz w:val="32"/>
          <w:szCs w:val="32"/>
          <w:highlight w:val="none"/>
          <w:lang w:val="en-US" w:eastAsia="zh-CN"/>
        </w:rPr>
        <w:t>150</w:t>
      </w:r>
      <w:r>
        <w:rPr>
          <w:rFonts w:eastAsia="仿宋_GB2312"/>
          <w:kern w:val="0"/>
          <w:sz w:val="32"/>
          <w:szCs w:val="32"/>
          <w:highlight w:val="none"/>
        </w:rPr>
        <w:t>人</w:t>
      </w:r>
      <w:r>
        <w:rPr>
          <w:rFonts w:hint="eastAsia" w:eastAsia="仿宋_GB2312"/>
          <w:kern w:val="0"/>
          <w:sz w:val="32"/>
          <w:szCs w:val="32"/>
          <w:highlight w:val="none"/>
          <w:lang w:eastAsia="zh-CN"/>
        </w:rPr>
        <w:t>。</w:t>
      </w:r>
      <w:r>
        <w:rPr>
          <w:rFonts w:eastAsia="仿宋_GB2312"/>
          <w:kern w:val="0"/>
          <w:sz w:val="32"/>
          <w:szCs w:val="32"/>
          <w:highlight w:val="none"/>
        </w:rPr>
        <w:t>离、退休</w:t>
      </w:r>
      <w:r>
        <w:rPr>
          <w:rFonts w:hint="eastAsia" w:eastAsia="仿宋_GB2312"/>
          <w:kern w:val="0"/>
          <w:sz w:val="32"/>
          <w:szCs w:val="32"/>
          <w:highlight w:val="none"/>
          <w:lang w:val="en-US" w:eastAsia="zh-CN"/>
        </w:rPr>
        <w:t>242</w:t>
      </w:r>
      <w:r>
        <w:rPr>
          <w:rFonts w:eastAsia="仿宋_GB2312"/>
          <w:kern w:val="0"/>
          <w:sz w:val="32"/>
          <w:szCs w:val="32"/>
          <w:highlight w:val="none"/>
        </w:rPr>
        <w:t>人（离休1人）。</w:t>
      </w:r>
    </w:p>
    <w:p>
      <w:pPr>
        <w:widowControl/>
        <w:spacing w:line="240" w:lineRule="auto"/>
        <w:ind w:firstLine="480"/>
        <w:jc w:val="left"/>
        <w:rPr>
          <w:rFonts w:hint="eastAsia" w:ascii="楷体_GB2312" w:eastAsia="楷体_GB2312"/>
          <w:kern w:val="0"/>
          <w:sz w:val="32"/>
          <w:szCs w:val="32"/>
        </w:rPr>
      </w:pPr>
      <w:r>
        <w:rPr>
          <w:rFonts w:hint="eastAsia" w:ascii="楷体_GB2312" w:eastAsia="楷体_GB2312"/>
          <w:kern w:val="0"/>
          <w:sz w:val="32"/>
          <w:szCs w:val="32"/>
        </w:rPr>
        <w:t>（二） 单位主要职责</w:t>
      </w:r>
    </w:p>
    <w:p>
      <w:pPr>
        <w:widowControl/>
        <w:spacing w:line="240" w:lineRule="auto"/>
        <w:ind w:firstLine="640" w:firstLineChars="200"/>
        <w:jc w:val="left"/>
        <w:rPr>
          <w:rFonts w:eastAsia="仿宋_GB2312"/>
          <w:kern w:val="0"/>
          <w:sz w:val="32"/>
          <w:szCs w:val="32"/>
        </w:rPr>
      </w:pPr>
      <w:r>
        <w:rPr>
          <w:rFonts w:eastAsia="仿宋_GB2312"/>
          <w:kern w:val="0"/>
          <w:sz w:val="32"/>
          <w:szCs w:val="32"/>
        </w:rPr>
        <w:t>市委编办下发的市市场监管局三定方案明确的职责如下：</w:t>
      </w:r>
    </w:p>
    <w:p>
      <w:pPr>
        <w:widowControl/>
        <w:spacing w:line="240" w:lineRule="auto"/>
        <w:ind w:firstLine="640" w:firstLineChars="200"/>
        <w:jc w:val="left"/>
        <w:rPr>
          <w:rFonts w:eastAsia="仿宋_GB2312"/>
          <w:kern w:val="0"/>
          <w:sz w:val="32"/>
          <w:szCs w:val="32"/>
        </w:rPr>
      </w:pPr>
      <w:r>
        <w:rPr>
          <w:rFonts w:eastAsia="仿宋_GB2312"/>
          <w:kern w:val="0"/>
          <w:sz w:val="32"/>
          <w:szCs w:val="32"/>
        </w:rPr>
        <w:t>1.负责市场综合监督管理。贯彻执行市场监督管理的方针政策和法律法规，拟订并组织实施全市市场监督管理工作规划、规范性文件，规范和维护市场秩序，营造诚实守信、公平竞争的市场环境。</w:t>
      </w:r>
    </w:p>
    <w:p>
      <w:pPr>
        <w:widowControl/>
        <w:spacing w:line="240" w:lineRule="auto"/>
        <w:ind w:firstLine="640" w:firstLineChars="200"/>
        <w:jc w:val="left"/>
        <w:rPr>
          <w:rFonts w:eastAsia="仿宋_GB2312"/>
          <w:kern w:val="0"/>
          <w:sz w:val="32"/>
          <w:szCs w:val="32"/>
        </w:rPr>
      </w:pPr>
      <w:r>
        <w:rPr>
          <w:rFonts w:eastAsia="仿宋_GB2312"/>
          <w:kern w:val="0"/>
          <w:sz w:val="32"/>
          <w:szCs w:val="32"/>
        </w:rPr>
        <w:t>2.负责市场主体统一登记注册。指导各类企业（包括授权范围内的外商投资企业）、农民专业合作社和从事经营活动的单位、个体工商户等市场主体的登记注册工作。建立市场主体信息公示和共享机制，依法公示和共享有关信息，加强信用监管，推动市场主体信用体系建设。</w:t>
      </w:r>
    </w:p>
    <w:p>
      <w:pPr>
        <w:widowControl/>
        <w:spacing w:line="240" w:lineRule="auto"/>
        <w:ind w:firstLine="640" w:firstLineChars="200"/>
        <w:jc w:val="left"/>
        <w:rPr>
          <w:rFonts w:eastAsia="仿宋_GB2312"/>
          <w:kern w:val="0"/>
          <w:sz w:val="32"/>
          <w:szCs w:val="32"/>
        </w:rPr>
      </w:pPr>
      <w:r>
        <w:rPr>
          <w:rFonts w:eastAsia="仿宋_GB2312"/>
          <w:kern w:val="0"/>
          <w:sz w:val="32"/>
          <w:szCs w:val="32"/>
        </w:rPr>
        <w:t>3.负责组织和指导市场监管综合执法工作。指导全市市场监管综合执法队伍整合和建设，推动实行统一的市场监管。组织查处跨区域及其他重大违法案件。规范市场监管行政执法行为。</w:t>
      </w:r>
    </w:p>
    <w:p>
      <w:pPr>
        <w:widowControl/>
        <w:spacing w:line="240" w:lineRule="auto"/>
        <w:ind w:firstLine="640" w:firstLineChars="200"/>
        <w:jc w:val="left"/>
        <w:rPr>
          <w:rFonts w:eastAsia="仿宋_GB2312"/>
          <w:kern w:val="0"/>
          <w:sz w:val="32"/>
          <w:szCs w:val="32"/>
        </w:rPr>
      </w:pPr>
      <w:r>
        <w:rPr>
          <w:rFonts w:eastAsia="仿宋_GB2312"/>
          <w:kern w:val="0"/>
          <w:sz w:val="32"/>
          <w:szCs w:val="32"/>
        </w:rPr>
        <w:t>4.负责反垄断统一执法。负责组织协调反倾销、反补贴保障措施等与进出口公平贸易相关的工作，协助开展对外贸易调查和产业损害调查，指导协调产业安全应对工作；协助对经营者集中行为进行反垄断审查，指导企业在国外的反垄断应诉工作。</w:t>
      </w:r>
    </w:p>
    <w:p>
      <w:pPr>
        <w:widowControl/>
        <w:spacing w:line="240" w:lineRule="auto"/>
        <w:ind w:firstLine="640" w:firstLineChars="200"/>
        <w:jc w:val="left"/>
        <w:rPr>
          <w:rFonts w:eastAsia="仿宋_GB2312"/>
          <w:kern w:val="0"/>
          <w:sz w:val="32"/>
          <w:szCs w:val="32"/>
        </w:rPr>
      </w:pPr>
      <w:r>
        <w:rPr>
          <w:rFonts w:eastAsia="仿宋_GB2312"/>
          <w:kern w:val="0"/>
          <w:sz w:val="32"/>
          <w:szCs w:val="32"/>
        </w:rPr>
        <w:t>5.负责监督管理市场秩序。依法监督管理市场交易、网络商品交易及有关服务的行为。组织指导查处价格收费违法违规、不正当竞争、违法直销、传销、侵犯商标专利知识产权和制售假冒伪劣行为。指导广告业发展，监督管理广告活动。指导查处无照生产经营和相关无证生产经营行为。</w:t>
      </w:r>
    </w:p>
    <w:p>
      <w:pPr>
        <w:widowControl/>
        <w:spacing w:line="240" w:lineRule="auto"/>
        <w:ind w:firstLine="640" w:firstLineChars="200"/>
        <w:jc w:val="left"/>
        <w:rPr>
          <w:rFonts w:eastAsia="仿宋_GB2312"/>
          <w:kern w:val="0"/>
          <w:sz w:val="32"/>
          <w:szCs w:val="32"/>
        </w:rPr>
      </w:pPr>
      <w:r>
        <w:rPr>
          <w:rFonts w:eastAsia="仿宋_GB2312"/>
          <w:kern w:val="0"/>
          <w:sz w:val="32"/>
          <w:szCs w:val="32"/>
        </w:rPr>
        <w:t>6.负责宏观质量管理。贯彻国家、省质量发展的有关政策，拟订推进质量发展战略的政策措施并组织实施。完善质量奖励制度；负责政府质量工作考核；会同有关部门组织实施重大工程设施及工程设备质量监理制度，组织重大质量事故调查，实施缺陷产品召回制度，监督管理产品防伪工作。</w:t>
      </w:r>
    </w:p>
    <w:p>
      <w:pPr>
        <w:widowControl/>
        <w:spacing w:line="240" w:lineRule="auto"/>
        <w:ind w:firstLine="640" w:firstLineChars="200"/>
        <w:jc w:val="left"/>
        <w:rPr>
          <w:rFonts w:eastAsia="仿宋_GB2312"/>
          <w:kern w:val="0"/>
          <w:sz w:val="32"/>
          <w:szCs w:val="32"/>
        </w:rPr>
      </w:pPr>
      <w:r>
        <w:rPr>
          <w:rFonts w:eastAsia="仿宋_GB2312"/>
          <w:kern w:val="0"/>
          <w:sz w:val="32"/>
          <w:szCs w:val="32"/>
        </w:rPr>
        <w:t>7.负责产品质量安全监督管理。负责产品质量安全强制检验、风险监控、监督抽查、定期监督检查等相关工作。落实质量分级制度、质量安全追溯制度。负责纤维质量监督管理工作。负责工业产品生产许可管理。负责机动车安全检验技术检验机构监督管理工作。负责产品质量安全仲裁检验、鉴定监督管理工作。负责产品质量专项整治和打击假冒伪劣违法行为，依法查处产品质量违法行为。组织协调有关专项打假活动。</w:t>
      </w:r>
    </w:p>
    <w:p>
      <w:pPr>
        <w:widowControl/>
        <w:spacing w:line="240" w:lineRule="auto"/>
        <w:ind w:firstLine="640" w:firstLineChars="200"/>
        <w:jc w:val="left"/>
        <w:rPr>
          <w:rFonts w:eastAsia="仿宋_GB2312"/>
          <w:kern w:val="0"/>
          <w:sz w:val="32"/>
          <w:szCs w:val="32"/>
        </w:rPr>
      </w:pPr>
      <w:r>
        <w:rPr>
          <w:rFonts w:eastAsia="仿宋_GB2312"/>
          <w:kern w:val="0"/>
          <w:sz w:val="32"/>
          <w:szCs w:val="32"/>
        </w:rPr>
        <w:t>8.负责特种设备安全监督管理。综合管理特种设备安全监察、监督工作。监督检查高能耗特种设备节能标准和锅炉环境保护标准的执行情况。按照法定权限组织调查处理特种设备事故并进行统计分析。</w:t>
      </w:r>
    </w:p>
    <w:p>
      <w:pPr>
        <w:widowControl/>
        <w:spacing w:line="240" w:lineRule="auto"/>
        <w:ind w:firstLine="640" w:firstLineChars="200"/>
        <w:jc w:val="left"/>
        <w:rPr>
          <w:rFonts w:eastAsia="仿宋_GB2312"/>
          <w:kern w:val="0"/>
          <w:sz w:val="32"/>
          <w:szCs w:val="32"/>
        </w:rPr>
      </w:pPr>
      <w:r>
        <w:rPr>
          <w:rFonts w:eastAsia="仿宋_GB2312"/>
          <w:kern w:val="0"/>
          <w:sz w:val="32"/>
          <w:szCs w:val="32"/>
        </w:rPr>
        <w:t>9.负责食品安全监督管理综合协调。组织拟定食品安全有关政策并组织实施。负责食品安全应急体系建设，组织指导食品安全事故应急处置和调查处理工作，监督事故查处落实情况。建立健全食品安全重要信息直报制度。承担市食品安全委员会日常工作。</w:t>
      </w:r>
    </w:p>
    <w:p>
      <w:pPr>
        <w:widowControl/>
        <w:spacing w:line="240" w:lineRule="auto"/>
        <w:ind w:firstLine="640" w:firstLineChars="200"/>
        <w:jc w:val="left"/>
        <w:rPr>
          <w:rFonts w:eastAsia="仿宋_GB2312"/>
          <w:kern w:val="0"/>
          <w:sz w:val="32"/>
          <w:szCs w:val="32"/>
        </w:rPr>
      </w:pPr>
      <w:r>
        <w:rPr>
          <w:rFonts w:eastAsia="仿宋_GB2312"/>
          <w:kern w:val="0"/>
          <w:sz w:val="32"/>
          <w:szCs w:val="32"/>
        </w:rPr>
        <w:t>10.负责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验、核查处置、风险调查、风险交流工作。组织实施特殊食品备案和监督管理。负责食盐专营管理和食盐安全监督管理。</w:t>
      </w:r>
    </w:p>
    <w:p>
      <w:pPr>
        <w:widowControl/>
        <w:spacing w:line="240" w:lineRule="auto"/>
        <w:ind w:firstLine="640" w:firstLineChars="200"/>
        <w:jc w:val="left"/>
        <w:rPr>
          <w:rFonts w:eastAsia="仿宋_GB2312"/>
          <w:kern w:val="0"/>
          <w:sz w:val="32"/>
          <w:szCs w:val="32"/>
        </w:rPr>
      </w:pPr>
      <w:r>
        <w:rPr>
          <w:rFonts w:eastAsia="仿宋_GB2312"/>
          <w:kern w:val="0"/>
          <w:sz w:val="32"/>
          <w:szCs w:val="32"/>
        </w:rPr>
        <w:t>11.负责统一管理计量工作。推行法定计量单位和国家计量制度。依职责管理计量器具及量值传递和比对工作。规范、监督商品量和市场计量行为。</w:t>
      </w:r>
    </w:p>
    <w:p>
      <w:pPr>
        <w:widowControl/>
        <w:spacing w:line="240" w:lineRule="auto"/>
        <w:ind w:firstLine="640" w:firstLineChars="200"/>
        <w:jc w:val="left"/>
        <w:rPr>
          <w:rFonts w:eastAsia="仿宋_GB2312"/>
          <w:kern w:val="0"/>
          <w:sz w:val="32"/>
          <w:szCs w:val="32"/>
        </w:rPr>
      </w:pPr>
      <w:r>
        <w:rPr>
          <w:rFonts w:eastAsia="仿宋_GB2312"/>
          <w:kern w:val="0"/>
          <w:sz w:val="32"/>
          <w:szCs w:val="32"/>
        </w:rPr>
        <w:t>12.负责统一管理标准化工作。依法承担地方标准的立项、编号和发布工作，指导开展标准化试点示范工作。依据法定职责，对标准的制定进行指导监督，对标准的实施进行监督检查。推行采用国际标准。承担企业法人统一社会信用代码、商品条码及法人数据库相关工作。</w:t>
      </w:r>
    </w:p>
    <w:p>
      <w:pPr>
        <w:widowControl/>
        <w:spacing w:line="240" w:lineRule="auto"/>
        <w:ind w:firstLine="640" w:firstLineChars="200"/>
        <w:jc w:val="left"/>
        <w:rPr>
          <w:rFonts w:eastAsia="仿宋_GB2312"/>
          <w:kern w:val="0"/>
          <w:sz w:val="32"/>
          <w:szCs w:val="32"/>
        </w:rPr>
      </w:pPr>
      <w:r>
        <w:rPr>
          <w:rFonts w:eastAsia="仿宋_GB2312"/>
          <w:kern w:val="0"/>
          <w:sz w:val="32"/>
          <w:szCs w:val="32"/>
        </w:rPr>
        <w:t>13.负责统一管理认证认可工作。依法对检验检测机构、检查机构资质资格及其检验活动进行监督管理，依法监督管理认证中介机构，依法监督管理体系认证和产品认证工作。</w:t>
      </w:r>
    </w:p>
    <w:p>
      <w:pPr>
        <w:widowControl/>
        <w:spacing w:line="240" w:lineRule="auto"/>
        <w:ind w:firstLine="640" w:firstLineChars="200"/>
        <w:jc w:val="left"/>
        <w:rPr>
          <w:rFonts w:eastAsia="仿宋_GB2312"/>
          <w:kern w:val="0"/>
          <w:sz w:val="32"/>
          <w:szCs w:val="32"/>
        </w:rPr>
      </w:pPr>
      <w:r>
        <w:rPr>
          <w:rFonts w:eastAsia="仿宋_GB2312"/>
          <w:kern w:val="0"/>
          <w:sz w:val="32"/>
          <w:szCs w:val="32"/>
        </w:rPr>
        <w:t>14.负责市场监督管理、知识产权领域科技和信息化建设、新闻宣传、对外交流与合作。按规定承担技术性贸易措施有关工作。</w:t>
      </w:r>
    </w:p>
    <w:p>
      <w:pPr>
        <w:widowControl/>
        <w:spacing w:line="240" w:lineRule="auto"/>
        <w:ind w:firstLine="640" w:firstLineChars="200"/>
        <w:jc w:val="left"/>
        <w:rPr>
          <w:rFonts w:eastAsia="仿宋_GB2312"/>
          <w:kern w:val="0"/>
          <w:sz w:val="32"/>
          <w:szCs w:val="32"/>
        </w:rPr>
      </w:pPr>
      <w:r>
        <w:rPr>
          <w:rFonts w:eastAsia="仿宋_GB2312"/>
          <w:kern w:val="0"/>
          <w:sz w:val="32"/>
          <w:szCs w:val="32"/>
        </w:rPr>
        <w:t>15.负责实施知识产权战略，推进知识产权强市建设。拟定实施知识产权创造、保护、运用的措施。负责知识产权公共服务体系建设，推动知识产权信息传播利用。</w:t>
      </w:r>
    </w:p>
    <w:p>
      <w:pPr>
        <w:widowControl/>
        <w:spacing w:line="240" w:lineRule="auto"/>
        <w:ind w:firstLine="640" w:firstLineChars="200"/>
        <w:jc w:val="left"/>
        <w:rPr>
          <w:rFonts w:eastAsia="仿宋_GB2312"/>
          <w:kern w:val="0"/>
          <w:sz w:val="32"/>
          <w:szCs w:val="32"/>
        </w:rPr>
      </w:pPr>
      <w:r>
        <w:rPr>
          <w:rFonts w:eastAsia="仿宋_GB2312"/>
          <w:kern w:val="0"/>
          <w:sz w:val="32"/>
          <w:szCs w:val="32"/>
        </w:rPr>
        <w:t>16.负责保护知识产权。落实严格保护商标、专利、原产地地理标志等相关工作，负责知识产权保护体系建设，组织指导商标、专利执法工作。</w:t>
      </w:r>
    </w:p>
    <w:p>
      <w:pPr>
        <w:widowControl/>
        <w:spacing w:line="240" w:lineRule="auto"/>
        <w:ind w:firstLine="640" w:firstLineChars="200"/>
        <w:jc w:val="left"/>
        <w:rPr>
          <w:rFonts w:eastAsia="仿宋_GB2312"/>
          <w:kern w:val="0"/>
          <w:sz w:val="32"/>
          <w:szCs w:val="32"/>
        </w:rPr>
      </w:pPr>
      <w:r>
        <w:rPr>
          <w:rFonts w:eastAsia="仿宋_GB2312"/>
          <w:kern w:val="0"/>
          <w:sz w:val="32"/>
          <w:szCs w:val="32"/>
        </w:rPr>
        <w:t>17.负责知识产权创造运用。按权限负责商标、专利和原产地地理标志的管理，开展知识产权运营体系建设，指导重大经济活动知识产权评议，规范知识产权交易和无形资产评估，促进知识产权转移转化。</w:t>
      </w:r>
    </w:p>
    <w:p>
      <w:pPr>
        <w:widowControl/>
        <w:spacing w:line="240" w:lineRule="auto"/>
        <w:ind w:firstLine="640" w:firstLineChars="200"/>
        <w:jc w:val="left"/>
        <w:rPr>
          <w:rFonts w:eastAsia="仿宋_GB2312"/>
          <w:kern w:val="0"/>
          <w:sz w:val="32"/>
          <w:szCs w:val="32"/>
        </w:rPr>
      </w:pPr>
      <w:r>
        <w:rPr>
          <w:rFonts w:eastAsia="仿宋_GB2312"/>
          <w:kern w:val="0"/>
          <w:sz w:val="32"/>
          <w:szCs w:val="32"/>
        </w:rPr>
        <w:t>18.负责组织开展消费维权工作，查处制售假冒伪劣等违法行为，指导消费者咨询、申诉、举报受理、处理和网络体系建设等工作，保护经营者、消费者合法权益。</w:t>
      </w:r>
    </w:p>
    <w:p>
      <w:pPr>
        <w:widowControl/>
        <w:spacing w:line="240" w:lineRule="auto"/>
        <w:ind w:firstLine="640" w:firstLineChars="200"/>
        <w:jc w:val="left"/>
        <w:rPr>
          <w:rFonts w:eastAsia="仿宋_GB2312"/>
          <w:kern w:val="0"/>
          <w:sz w:val="32"/>
          <w:szCs w:val="32"/>
        </w:rPr>
      </w:pPr>
      <w:r>
        <w:rPr>
          <w:rFonts w:eastAsia="仿宋_GB2312"/>
          <w:kern w:val="0"/>
          <w:sz w:val="32"/>
          <w:szCs w:val="32"/>
        </w:rPr>
        <w:t>19.负责权限内食品、药品、医疗器械、化妆品行政许可；负责药品、医疗器械、保健食品广告内容的监督检查。</w:t>
      </w:r>
    </w:p>
    <w:p>
      <w:pPr>
        <w:widowControl/>
        <w:spacing w:line="240" w:lineRule="auto"/>
        <w:ind w:firstLine="640" w:firstLineChars="200"/>
        <w:jc w:val="left"/>
        <w:rPr>
          <w:rFonts w:eastAsia="仿宋_GB2312"/>
          <w:kern w:val="0"/>
          <w:sz w:val="32"/>
          <w:szCs w:val="32"/>
        </w:rPr>
      </w:pPr>
      <w:r>
        <w:rPr>
          <w:rFonts w:eastAsia="仿宋_GB2312"/>
          <w:kern w:val="0"/>
          <w:sz w:val="32"/>
          <w:szCs w:val="32"/>
        </w:rPr>
        <w:t>20.负责监督实施药品和医疗器械标准、分类管理制度；负责配合上级部门监督实施药品和医疗器械研制、生产、经营、使用质量管理规范；配合上级部门监督实施药品、医疗器械注册制度；负责建立药品不良反应、医疗器械不良事件监测体系，组织开展监测和处置工作；配合上级部门开展药品、医疗器械再评价和淘汰相关工作；监督实施执业药师制度；配合有关部门实施国家基本药物制度。</w:t>
      </w:r>
    </w:p>
    <w:p>
      <w:pPr>
        <w:widowControl/>
        <w:spacing w:line="240" w:lineRule="auto"/>
        <w:ind w:firstLine="640" w:firstLineChars="200"/>
        <w:jc w:val="left"/>
        <w:rPr>
          <w:rFonts w:eastAsia="仿宋_GB2312"/>
          <w:kern w:val="0"/>
          <w:sz w:val="32"/>
          <w:szCs w:val="32"/>
        </w:rPr>
      </w:pPr>
      <w:r>
        <w:rPr>
          <w:rFonts w:eastAsia="仿宋_GB2312"/>
          <w:kern w:val="0"/>
          <w:sz w:val="32"/>
          <w:szCs w:val="32"/>
        </w:rPr>
        <w:t>21.制定全市药品、医疗器械、化妆品监督管理的稽查制度并组织实施；依法组织查处药品、医疗器械、化妆品违法行为；组织开展相关质量抽验并发布有关信息；依法处理有关药品、医疗器械、化妆品安全的咨询、投诉、举报；监督实施问题产品召回和处置制度。</w:t>
      </w:r>
    </w:p>
    <w:p>
      <w:pPr>
        <w:widowControl/>
        <w:spacing w:line="240" w:lineRule="auto"/>
        <w:ind w:firstLine="640" w:firstLineChars="200"/>
        <w:jc w:val="left"/>
        <w:rPr>
          <w:rFonts w:eastAsia="仿宋_GB2312"/>
          <w:kern w:val="0"/>
          <w:sz w:val="32"/>
          <w:szCs w:val="32"/>
        </w:rPr>
      </w:pPr>
      <w:r>
        <w:rPr>
          <w:rFonts w:eastAsia="仿宋_GB2312"/>
          <w:kern w:val="0"/>
          <w:sz w:val="32"/>
          <w:szCs w:val="32"/>
        </w:rPr>
        <w:t>22.依法承担放射性药品、麻醉药品、毒性药品及精神药品、药品类易制毒化学品的监督管理工作。</w:t>
      </w:r>
    </w:p>
    <w:p>
      <w:pPr>
        <w:widowControl/>
        <w:spacing w:line="240" w:lineRule="auto"/>
        <w:ind w:firstLine="640" w:firstLineChars="200"/>
        <w:jc w:val="left"/>
        <w:rPr>
          <w:rFonts w:eastAsia="仿宋_GB2312"/>
          <w:kern w:val="0"/>
          <w:sz w:val="32"/>
          <w:szCs w:val="32"/>
        </w:rPr>
      </w:pPr>
      <w:r>
        <w:rPr>
          <w:rFonts w:eastAsia="仿宋_GB2312"/>
          <w:kern w:val="0"/>
          <w:sz w:val="32"/>
          <w:szCs w:val="32"/>
        </w:rPr>
        <w:t>23.完成市委、市政府交办的其他事项。</w:t>
      </w:r>
    </w:p>
    <w:p>
      <w:pPr>
        <w:widowControl/>
        <w:spacing w:line="240" w:lineRule="auto"/>
        <w:ind w:firstLine="640" w:firstLineChars="200"/>
        <w:jc w:val="left"/>
        <w:rPr>
          <w:rFonts w:ascii="黑体" w:hAnsi="黑体" w:eastAsia="黑体"/>
          <w:kern w:val="0"/>
          <w:sz w:val="32"/>
          <w:szCs w:val="32"/>
        </w:rPr>
      </w:pPr>
      <w:r>
        <w:rPr>
          <w:rFonts w:ascii="黑体" w:hAnsi="黑体" w:eastAsia="黑体"/>
          <w:kern w:val="0"/>
          <w:sz w:val="32"/>
          <w:szCs w:val="32"/>
        </w:rPr>
        <w:t>二、部门财务情况</w:t>
      </w:r>
    </w:p>
    <w:p>
      <w:pPr>
        <w:widowControl/>
        <w:spacing w:line="240" w:lineRule="auto"/>
        <w:ind w:firstLine="480"/>
        <w:jc w:val="left"/>
        <w:rPr>
          <w:rFonts w:hint="eastAsia" w:ascii="楷体_GB2312" w:eastAsia="楷体_GB2312"/>
          <w:kern w:val="0"/>
          <w:sz w:val="32"/>
          <w:szCs w:val="32"/>
        </w:rPr>
      </w:pPr>
      <w:r>
        <w:rPr>
          <w:rFonts w:hint="eastAsia" w:ascii="楷体_GB2312" w:eastAsia="楷体_GB2312"/>
          <w:kern w:val="0"/>
          <w:sz w:val="32"/>
          <w:szCs w:val="32"/>
        </w:rPr>
        <w:t>（一） 2019年部门整体支出情况</w:t>
      </w:r>
    </w:p>
    <w:p>
      <w:pPr>
        <w:widowControl/>
        <w:spacing w:line="240" w:lineRule="auto"/>
        <w:ind w:firstLine="640" w:firstLineChars="200"/>
        <w:jc w:val="left"/>
        <w:rPr>
          <w:rFonts w:ascii="Times New Roman" w:hAnsi="仿宋_GB2312" w:eastAsia="仿宋_GB2312" w:cs="Times New Roman"/>
          <w:color w:val="000000"/>
          <w:kern w:val="0"/>
          <w:sz w:val="32"/>
          <w:szCs w:val="32"/>
          <w:lang w:val="en-US" w:eastAsia="zh-CN" w:bidi="ar-SA"/>
        </w:rPr>
      </w:pPr>
      <w:r>
        <w:rPr>
          <w:rFonts w:ascii="Times New Roman" w:hAnsi="仿宋_GB2312" w:eastAsia="仿宋_GB2312" w:cs="Times New Roman"/>
          <w:color w:val="000000"/>
          <w:kern w:val="0"/>
          <w:sz w:val="32"/>
          <w:szCs w:val="32"/>
          <w:lang w:val="en-US" w:eastAsia="zh-CN" w:bidi="ar-SA"/>
        </w:rPr>
        <w:t>市市场监管局2019年度决算报表反映，</w:t>
      </w:r>
      <w:r>
        <w:rPr>
          <w:rFonts w:hint="eastAsia" w:ascii="Times New Roman" w:hAnsi="仿宋_GB2312" w:eastAsia="仿宋_GB2312" w:cs="Times New Roman"/>
          <w:color w:val="000000"/>
          <w:kern w:val="0"/>
          <w:sz w:val="32"/>
          <w:szCs w:val="32"/>
          <w:lang w:val="en-US" w:eastAsia="zh-CN" w:bidi="ar-SA"/>
        </w:rPr>
        <w:t>总</w:t>
      </w:r>
      <w:r>
        <w:rPr>
          <w:rFonts w:ascii="Times New Roman" w:hAnsi="仿宋_GB2312" w:eastAsia="仿宋_GB2312" w:cs="Times New Roman"/>
          <w:color w:val="000000"/>
          <w:kern w:val="0"/>
          <w:sz w:val="32"/>
          <w:szCs w:val="32"/>
          <w:lang w:val="en-US" w:eastAsia="zh-CN" w:bidi="ar-SA"/>
        </w:rPr>
        <w:t>收入</w:t>
      </w:r>
      <w:r>
        <w:rPr>
          <w:rFonts w:hint="eastAsia" w:ascii="Times New Roman" w:hAnsi="仿宋_GB2312" w:eastAsia="仿宋_GB2312" w:cs="Times New Roman"/>
          <w:color w:val="000000"/>
          <w:kern w:val="0"/>
          <w:sz w:val="32"/>
          <w:szCs w:val="32"/>
          <w:lang w:val="en-US" w:eastAsia="zh-CN" w:bidi="ar-SA"/>
        </w:rPr>
        <w:t>13,217.54</w:t>
      </w:r>
      <w:r>
        <w:rPr>
          <w:rFonts w:ascii="Times New Roman" w:hAnsi="仿宋_GB2312" w:eastAsia="仿宋_GB2312" w:cs="Times New Roman"/>
          <w:color w:val="000000"/>
          <w:kern w:val="0"/>
          <w:sz w:val="32"/>
          <w:szCs w:val="32"/>
          <w:lang w:val="en-US" w:eastAsia="zh-CN" w:bidi="ar-SA"/>
        </w:rPr>
        <w:t>万元，其中</w:t>
      </w:r>
      <w:r>
        <w:rPr>
          <w:rFonts w:hint="eastAsia" w:ascii="Times New Roman" w:hAnsi="仿宋_GB2312" w:eastAsia="仿宋_GB2312" w:cs="Times New Roman"/>
          <w:color w:val="000000"/>
          <w:kern w:val="0"/>
          <w:sz w:val="32"/>
          <w:szCs w:val="32"/>
          <w:lang w:val="en-US" w:eastAsia="zh-CN" w:bidi="ar-SA"/>
        </w:rPr>
        <w:t>：财政拨款收入</w:t>
      </w:r>
      <w:r>
        <w:rPr>
          <w:rFonts w:hint="default" w:ascii="Times New Roman" w:hAnsi="仿宋_GB2312" w:eastAsia="仿宋_GB2312" w:cs="Times New Roman"/>
          <w:color w:val="000000"/>
          <w:kern w:val="0"/>
          <w:sz w:val="32"/>
          <w:szCs w:val="32"/>
          <w:lang w:val="en-US" w:eastAsia="zh-CN" w:bidi="ar-SA"/>
        </w:rPr>
        <w:t>13</w:t>
      </w:r>
      <w:r>
        <w:rPr>
          <w:rFonts w:hint="eastAsia" w:ascii="Times New Roman" w:hAnsi="仿宋_GB2312" w:eastAsia="仿宋_GB2312" w:cs="Times New Roman"/>
          <w:color w:val="000000"/>
          <w:kern w:val="0"/>
          <w:sz w:val="32"/>
          <w:szCs w:val="32"/>
          <w:lang w:val="en-US" w:eastAsia="zh-CN" w:bidi="ar-SA"/>
        </w:rPr>
        <w:t>,</w:t>
      </w:r>
      <w:r>
        <w:rPr>
          <w:rFonts w:hint="default" w:ascii="Times New Roman" w:hAnsi="仿宋_GB2312" w:eastAsia="仿宋_GB2312" w:cs="Times New Roman"/>
          <w:color w:val="000000"/>
          <w:kern w:val="0"/>
          <w:sz w:val="32"/>
          <w:szCs w:val="32"/>
          <w:lang w:val="en-US" w:eastAsia="zh-CN" w:bidi="ar-SA"/>
        </w:rPr>
        <w:t>175.73</w:t>
      </w:r>
      <w:r>
        <w:rPr>
          <w:rFonts w:ascii="Times New Roman" w:hAnsi="仿宋_GB2312" w:eastAsia="仿宋_GB2312" w:cs="Times New Roman"/>
          <w:color w:val="000000"/>
          <w:kern w:val="0"/>
          <w:sz w:val="32"/>
          <w:szCs w:val="32"/>
          <w:lang w:val="en-US" w:eastAsia="zh-CN" w:bidi="ar-SA"/>
        </w:rPr>
        <w:t>万元，其他收入</w:t>
      </w:r>
      <w:r>
        <w:rPr>
          <w:rFonts w:hint="eastAsia" w:ascii="Times New Roman" w:hAnsi="仿宋_GB2312" w:eastAsia="仿宋_GB2312" w:cs="Times New Roman"/>
          <w:color w:val="000000"/>
          <w:kern w:val="0"/>
          <w:sz w:val="32"/>
          <w:szCs w:val="32"/>
          <w:lang w:val="en-US" w:eastAsia="zh-CN" w:bidi="ar-SA"/>
        </w:rPr>
        <w:t>41.81</w:t>
      </w:r>
      <w:r>
        <w:rPr>
          <w:rFonts w:ascii="Times New Roman" w:hAnsi="仿宋_GB2312" w:eastAsia="仿宋_GB2312" w:cs="Times New Roman"/>
          <w:color w:val="000000"/>
          <w:kern w:val="0"/>
          <w:sz w:val="32"/>
          <w:szCs w:val="32"/>
          <w:lang w:val="en-US" w:eastAsia="zh-CN" w:bidi="ar-SA"/>
        </w:rPr>
        <w:t>万元</w:t>
      </w:r>
      <w:r>
        <w:rPr>
          <w:rFonts w:hint="eastAsia" w:ascii="Times New Roman" w:hAnsi="仿宋_GB2312" w:eastAsia="仿宋_GB2312" w:cs="Times New Roman"/>
          <w:color w:val="000000"/>
          <w:kern w:val="0"/>
          <w:sz w:val="32"/>
          <w:szCs w:val="32"/>
          <w:lang w:val="en-US" w:eastAsia="zh-CN" w:bidi="ar-SA"/>
        </w:rPr>
        <w:t>。用事业基金弥补收支差额119.77万元，</w:t>
      </w:r>
      <w:r>
        <w:rPr>
          <w:rFonts w:ascii="Times New Roman" w:hAnsi="仿宋_GB2312" w:eastAsia="仿宋_GB2312" w:cs="Times New Roman"/>
          <w:color w:val="000000"/>
          <w:kern w:val="0"/>
          <w:sz w:val="32"/>
          <w:szCs w:val="32"/>
          <w:lang w:val="en-US" w:eastAsia="zh-CN" w:bidi="ar-SA"/>
        </w:rPr>
        <w:t>年初结转和结余</w:t>
      </w:r>
      <w:r>
        <w:rPr>
          <w:rFonts w:hint="eastAsia" w:ascii="Times New Roman" w:hAnsi="仿宋_GB2312" w:eastAsia="仿宋_GB2312" w:cs="Times New Roman"/>
          <w:color w:val="000000"/>
          <w:kern w:val="0"/>
          <w:sz w:val="32"/>
          <w:szCs w:val="32"/>
          <w:lang w:val="en-US" w:eastAsia="zh-CN" w:bidi="ar-SA"/>
        </w:rPr>
        <w:t>3,394.44</w:t>
      </w:r>
      <w:r>
        <w:rPr>
          <w:rFonts w:ascii="Times New Roman" w:hAnsi="仿宋_GB2312" w:eastAsia="仿宋_GB2312" w:cs="Times New Roman"/>
          <w:color w:val="000000"/>
          <w:kern w:val="0"/>
          <w:sz w:val="32"/>
          <w:szCs w:val="32"/>
          <w:lang w:val="en-US" w:eastAsia="zh-CN" w:bidi="ar-SA"/>
        </w:rPr>
        <w:t>万元。</w:t>
      </w:r>
      <w:r>
        <w:rPr>
          <w:rFonts w:hint="eastAsia" w:ascii="Times New Roman" w:hAnsi="仿宋_GB2312" w:eastAsia="仿宋_GB2312" w:cs="Times New Roman"/>
          <w:color w:val="000000"/>
          <w:kern w:val="0"/>
          <w:sz w:val="32"/>
          <w:szCs w:val="32"/>
          <w:lang w:val="en-US" w:eastAsia="zh-CN" w:bidi="ar-SA"/>
        </w:rPr>
        <w:t>总</w:t>
      </w:r>
      <w:r>
        <w:rPr>
          <w:rFonts w:ascii="Times New Roman" w:hAnsi="仿宋_GB2312" w:eastAsia="仿宋_GB2312" w:cs="Times New Roman"/>
          <w:color w:val="000000"/>
          <w:kern w:val="0"/>
          <w:sz w:val="32"/>
          <w:szCs w:val="32"/>
          <w:lang w:val="en-US" w:eastAsia="zh-CN" w:bidi="ar-SA"/>
        </w:rPr>
        <w:t>支出</w:t>
      </w:r>
      <w:r>
        <w:rPr>
          <w:rFonts w:hint="eastAsia" w:ascii="Times New Roman" w:hAnsi="仿宋_GB2312" w:eastAsia="仿宋_GB2312" w:cs="Times New Roman"/>
          <w:color w:val="000000"/>
          <w:kern w:val="0"/>
          <w:sz w:val="32"/>
          <w:szCs w:val="32"/>
          <w:lang w:val="en-US" w:eastAsia="zh-CN" w:bidi="ar-SA"/>
        </w:rPr>
        <w:t>13,159.71</w:t>
      </w:r>
      <w:r>
        <w:rPr>
          <w:rFonts w:ascii="Times New Roman" w:hAnsi="仿宋_GB2312" w:eastAsia="仿宋_GB2312" w:cs="Times New Roman"/>
          <w:color w:val="000000"/>
          <w:kern w:val="0"/>
          <w:sz w:val="32"/>
          <w:szCs w:val="32"/>
          <w:lang w:val="en-US" w:eastAsia="zh-CN" w:bidi="ar-SA"/>
        </w:rPr>
        <w:t>万元，其中</w:t>
      </w:r>
      <w:r>
        <w:rPr>
          <w:rFonts w:hint="eastAsia" w:ascii="Times New Roman" w:hAnsi="仿宋_GB2312" w:eastAsia="仿宋_GB2312" w:cs="Times New Roman"/>
          <w:color w:val="000000"/>
          <w:kern w:val="0"/>
          <w:sz w:val="32"/>
          <w:szCs w:val="32"/>
          <w:lang w:val="en-US" w:eastAsia="zh-CN" w:bidi="ar-SA"/>
        </w:rPr>
        <w:t>：</w:t>
      </w:r>
      <w:r>
        <w:rPr>
          <w:rFonts w:ascii="Times New Roman" w:hAnsi="仿宋_GB2312" w:eastAsia="仿宋_GB2312" w:cs="Times New Roman"/>
          <w:color w:val="000000"/>
          <w:kern w:val="0"/>
          <w:sz w:val="32"/>
          <w:szCs w:val="32"/>
          <w:lang w:val="en-US" w:eastAsia="zh-CN" w:bidi="ar-SA"/>
        </w:rPr>
        <w:t>基本支出</w:t>
      </w:r>
      <w:r>
        <w:rPr>
          <w:rFonts w:hint="eastAsia" w:ascii="Times New Roman" w:hAnsi="仿宋_GB2312" w:eastAsia="仿宋_GB2312" w:cs="Times New Roman"/>
          <w:color w:val="000000"/>
          <w:kern w:val="0"/>
          <w:sz w:val="32"/>
          <w:szCs w:val="32"/>
          <w:lang w:val="en-US" w:eastAsia="zh-CN" w:bidi="ar-SA"/>
        </w:rPr>
        <w:t>8,558.91</w:t>
      </w:r>
      <w:r>
        <w:rPr>
          <w:rFonts w:ascii="Times New Roman" w:hAnsi="仿宋_GB2312" w:eastAsia="仿宋_GB2312" w:cs="Times New Roman"/>
          <w:color w:val="000000"/>
          <w:kern w:val="0"/>
          <w:sz w:val="32"/>
          <w:szCs w:val="32"/>
          <w:lang w:val="en-US" w:eastAsia="zh-CN" w:bidi="ar-SA"/>
        </w:rPr>
        <w:t>万元，项目支出</w:t>
      </w:r>
      <w:r>
        <w:rPr>
          <w:rFonts w:hint="eastAsia" w:ascii="Times New Roman" w:hAnsi="仿宋_GB2312" w:eastAsia="仿宋_GB2312" w:cs="Times New Roman"/>
          <w:color w:val="000000"/>
          <w:kern w:val="0"/>
          <w:sz w:val="32"/>
          <w:szCs w:val="32"/>
          <w:lang w:val="en-US" w:eastAsia="zh-CN" w:bidi="ar-SA"/>
        </w:rPr>
        <w:t>4,600.80</w:t>
      </w:r>
      <w:r>
        <w:rPr>
          <w:rFonts w:ascii="Times New Roman" w:hAnsi="仿宋_GB2312" w:eastAsia="仿宋_GB2312" w:cs="Times New Roman"/>
          <w:color w:val="000000"/>
          <w:kern w:val="0"/>
          <w:sz w:val="32"/>
          <w:szCs w:val="32"/>
          <w:lang w:val="en-US" w:eastAsia="zh-CN" w:bidi="ar-SA"/>
        </w:rPr>
        <w:t>万元。2019年末结转和结余</w:t>
      </w:r>
      <w:r>
        <w:rPr>
          <w:rFonts w:hint="eastAsia" w:ascii="Times New Roman" w:hAnsi="仿宋_GB2312" w:eastAsia="仿宋_GB2312" w:cs="Times New Roman"/>
          <w:color w:val="000000"/>
          <w:kern w:val="0"/>
          <w:sz w:val="32"/>
          <w:szCs w:val="32"/>
          <w:lang w:val="en-US" w:eastAsia="zh-CN" w:bidi="ar-SA"/>
        </w:rPr>
        <w:t>3,572.04</w:t>
      </w:r>
      <w:r>
        <w:rPr>
          <w:rFonts w:ascii="Times New Roman" w:hAnsi="仿宋_GB2312" w:eastAsia="仿宋_GB2312" w:cs="Times New Roman"/>
          <w:color w:val="000000"/>
          <w:kern w:val="0"/>
          <w:sz w:val="32"/>
          <w:szCs w:val="32"/>
          <w:lang w:val="en-US" w:eastAsia="zh-CN" w:bidi="ar-SA"/>
        </w:rPr>
        <w:t>万元。</w:t>
      </w:r>
    </w:p>
    <w:p>
      <w:pPr>
        <w:widowControl/>
        <w:spacing w:line="240" w:lineRule="auto"/>
        <w:ind w:firstLine="640" w:firstLineChars="200"/>
        <w:jc w:val="left"/>
        <w:rPr>
          <w:rFonts w:ascii="Times New Roman" w:hAnsi="仿宋_GB2312" w:eastAsia="仿宋_GB2312" w:cs="Times New Roman"/>
          <w:color w:val="000000"/>
          <w:kern w:val="0"/>
          <w:sz w:val="32"/>
          <w:szCs w:val="32"/>
          <w:lang w:val="en-US" w:eastAsia="zh-CN" w:bidi="ar-SA"/>
        </w:rPr>
      </w:pPr>
      <w:r>
        <w:rPr>
          <w:rFonts w:ascii="Times New Roman" w:hAnsi="仿宋_GB2312" w:eastAsia="仿宋_GB2312" w:cs="Times New Roman"/>
          <w:color w:val="000000"/>
          <w:kern w:val="0"/>
          <w:sz w:val="32"/>
          <w:szCs w:val="32"/>
          <w:lang w:val="en-US" w:eastAsia="zh-CN" w:bidi="ar-SA"/>
        </w:rPr>
        <w:t>2019年度基本支出</w:t>
      </w:r>
      <w:r>
        <w:rPr>
          <w:rFonts w:hint="eastAsia" w:ascii="Times New Roman" w:hAnsi="仿宋_GB2312" w:eastAsia="仿宋_GB2312" w:cs="Times New Roman"/>
          <w:color w:val="000000"/>
          <w:kern w:val="0"/>
          <w:sz w:val="32"/>
          <w:szCs w:val="32"/>
          <w:lang w:val="en-US" w:eastAsia="zh-CN" w:bidi="ar-SA"/>
        </w:rPr>
        <w:t>8,558.91</w:t>
      </w:r>
      <w:r>
        <w:rPr>
          <w:rFonts w:ascii="Times New Roman" w:hAnsi="仿宋_GB2312" w:eastAsia="仿宋_GB2312" w:cs="Times New Roman"/>
          <w:color w:val="000000"/>
          <w:kern w:val="0"/>
          <w:sz w:val="32"/>
          <w:szCs w:val="32"/>
          <w:lang w:val="en-US" w:eastAsia="zh-CN" w:bidi="ar-SA"/>
        </w:rPr>
        <w:t>万元，其中</w:t>
      </w:r>
      <w:r>
        <w:rPr>
          <w:rFonts w:hint="eastAsia" w:ascii="Times New Roman" w:hAnsi="仿宋_GB2312" w:eastAsia="仿宋_GB2312" w:cs="Times New Roman"/>
          <w:color w:val="000000"/>
          <w:kern w:val="0"/>
          <w:sz w:val="32"/>
          <w:szCs w:val="32"/>
          <w:lang w:val="en-US" w:eastAsia="zh-CN" w:bidi="ar-SA"/>
        </w:rPr>
        <w:t>：</w:t>
      </w:r>
      <w:r>
        <w:rPr>
          <w:rFonts w:ascii="Times New Roman" w:hAnsi="仿宋_GB2312" w:eastAsia="仿宋_GB2312" w:cs="Times New Roman"/>
          <w:color w:val="000000"/>
          <w:kern w:val="0"/>
          <w:sz w:val="32"/>
          <w:szCs w:val="32"/>
          <w:lang w:val="en-US" w:eastAsia="zh-CN" w:bidi="ar-SA"/>
        </w:rPr>
        <w:t>工资福利支出</w:t>
      </w:r>
      <w:r>
        <w:rPr>
          <w:rFonts w:hint="eastAsia" w:ascii="Times New Roman" w:hAnsi="仿宋_GB2312" w:eastAsia="仿宋_GB2312" w:cs="Times New Roman"/>
          <w:color w:val="000000"/>
          <w:kern w:val="0"/>
          <w:sz w:val="32"/>
          <w:szCs w:val="32"/>
          <w:lang w:val="en-US" w:eastAsia="zh-CN" w:bidi="ar-SA"/>
        </w:rPr>
        <w:t>5,658.04</w:t>
      </w:r>
      <w:r>
        <w:rPr>
          <w:rFonts w:ascii="Times New Roman" w:hAnsi="仿宋_GB2312" w:eastAsia="仿宋_GB2312" w:cs="Times New Roman"/>
          <w:color w:val="000000"/>
          <w:kern w:val="0"/>
          <w:sz w:val="32"/>
          <w:szCs w:val="32"/>
          <w:lang w:val="en-US" w:eastAsia="zh-CN" w:bidi="ar-SA"/>
        </w:rPr>
        <w:t>万元、商品和服务支出</w:t>
      </w:r>
      <w:r>
        <w:rPr>
          <w:rFonts w:hint="eastAsia" w:ascii="Times New Roman" w:hAnsi="仿宋_GB2312" w:eastAsia="仿宋_GB2312" w:cs="Times New Roman"/>
          <w:color w:val="000000"/>
          <w:kern w:val="0"/>
          <w:sz w:val="32"/>
          <w:szCs w:val="32"/>
          <w:lang w:val="en-US" w:eastAsia="zh-CN" w:bidi="ar-SA"/>
        </w:rPr>
        <w:t>1,309.75</w:t>
      </w:r>
      <w:r>
        <w:rPr>
          <w:rFonts w:ascii="Times New Roman" w:hAnsi="仿宋_GB2312" w:eastAsia="仿宋_GB2312" w:cs="Times New Roman"/>
          <w:color w:val="000000"/>
          <w:kern w:val="0"/>
          <w:sz w:val="32"/>
          <w:szCs w:val="32"/>
          <w:lang w:val="en-US" w:eastAsia="zh-CN" w:bidi="ar-SA"/>
        </w:rPr>
        <w:t>万元、对个人和家庭的补助支出</w:t>
      </w:r>
      <w:r>
        <w:rPr>
          <w:rFonts w:hint="eastAsia" w:ascii="Times New Roman" w:hAnsi="仿宋_GB2312" w:eastAsia="仿宋_GB2312" w:cs="Times New Roman"/>
          <w:color w:val="000000"/>
          <w:kern w:val="0"/>
          <w:sz w:val="32"/>
          <w:szCs w:val="32"/>
          <w:lang w:val="en-US" w:eastAsia="zh-CN" w:bidi="ar-SA"/>
        </w:rPr>
        <w:t>1,495.81</w:t>
      </w:r>
      <w:r>
        <w:rPr>
          <w:rFonts w:ascii="Times New Roman" w:hAnsi="仿宋_GB2312" w:eastAsia="仿宋_GB2312" w:cs="Times New Roman"/>
          <w:color w:val="000000"/>
          <w:kern w:val="0"/>
          <w:sz w:val="32"/>
          <w:szCs w:val="32"/>
          <w:lang w:val="en-US" w:eastAsia="zh-CN" w:bidi="ar-SA"/>
        </w:rPr>
        <w:t>万元，资本性支出</w:t>
      </w:r>
      <w:r>
        <w:rPr>
          <w:rFonts w:hint="eastAsia" w:ascii="Times New Roman" w:hAnsi="仿宋_GB2312" w:eastAsia="仿宋_GB2312" w:cs="Times New Roman"/>
          <w:color w:val="000000"/>
          <w:kern w:val="0"/>
          <w:sz w:val="32"/>
          <w:szCs w:val="32"/>
          <w:lang w:val="en-US" w:eastAsia="zh-CN" w:bidi="ar-SA"/>
        </w:rPr>
        <w:t>95.31</w:t>
      </w:r>
      <w:r>
        <w:rPr>
          <w:rFonts w:ascii="Times New Roman" w:hAnsi="仿宋_GB2312" w:eastAsia="仿宋_GB2312" w:cs="Times New Roman"/>
          <w:color w:val="000000"/>
          <w:kern w:val="0"/>
          <w:sz w:val="32"/>
          <w:szCs w:val="32"/>
          <w:lang w:val="en-US" w:eastAsia="zh-CN" w:bidi="ar-SA"/>
        </w:rPr>
        <w:t>万元；项目支出</w:t>
      </w:r>
      <w:r>
        <w:rPr>
          <w:rFonts w:hint="eastAsia" w:ascii="Times New Roman" w:hAnsi="仿宋_GB2312" w:eastAsia="仿宋_GB2312" w:cs="Times New Roman"/>
          <w:color w:val="000000"/>
          <w:kern w:val="0"/>
          <w:sz w:val="32"/>
          <w:szCs w:val="32"/>
          <w:lang w:val="en-US" w:eastAsia="zh-CN" w:bidi="ar-SA"/>
        </w:rPr>
        <w:t>4,600.80</w:t>
      </w:r>
      <w:r>
        <w:rPr>
          <w:rFonts w:ascii="Times New Roman" w:hAnsi="仿宋_GB2312" w:eastAsia="仿宋_GB2312" w:cs="Times New Roman"/>
          <w:color w:val="000000"/>
          <w:kern w:val="0"/>
          <w:sz w:val="32"/>
          <w:szCs w:val="32"/>
          <w:lang w:val="en-US" w:eastAsia="zh-CN" w:bidi="ar-SA"/>
        </w:rPr>
        <w:t>万元，其中</w:t>
      </w:r>
      <w:r>
        <w:rPr>
          <w:rFonts w:hint="eastAsia" w:ascii="Times New Roman" w:hAnsi="仿宋_GB2312" w:eastAsia="仿宋_GB2312" w:cs="Times New Roman"/>
          <w:color w:val="000000"/>
          <w:kern w:val="0"/>
          <w:sz w:val="32"/>
          <w:szCs w:val="32"/>
          <w:lang w:val="en-US" w:eastAsia="zh-CN" w:bidi="ar-SA"/>
        </w:rPr>
        <w:t>：</w:t>
      </w:r>
      <w:r>
        <w:rPr>
          <w:rFonts w:ascii="Times New Roman" w:hAnsi="仿宋_GB2312" w:eastAsia="仿宋_GB2312" w:cs="Times New Roman"/>
          <w:color w:val="000000"/>
          <w:kern w:val="0"/>
          <w:sz w:val="32"/>
          <w:szCs w:val="32"/>
          <w:lang w:val="en-US" w:eastAsia="zh-CN" w:bidi="ar-SA"/>
        </w:rPr>
        <w:t>工资福利支出</w:t>
      </w:r>
      <w:r>
        <w:rPr>
          <w:rFonts w:hint="eastAsia" w:ascii="Times New Roman" w:hAnsi="仿宋_GB2312" w:eastAsia="仿宋_GB2312" w:cs="Times New Roman"/>
          <w:color w:val="000000"/>
          <w:kern w:val="0"/>
          <w:sz w:val="32"/>
          <w:szCs w:val="32"/>
          <w:lang w:val="en-US" w:eastAsia="zh-CN" w:bidi="ar-SA"/>
        </w:rPr>
        <w:t>12.09</w:t>
      </w:r>
      <w:r>
        <w:rPr>
          <w:rFonts w:ascii="Times New Roman" w:hAnsi="仿宋_GB2312" w:eastAsia="仿宋_GB2312" w:cs="Times New Roman"/>
          <w:color w:val="000000"/>
          <w:kern w:val="0"/>
          <w:sz w:val="32"/>
          <w:szCs w:val="32"/>
          <w:lang w:val="en-US" w:eastAsia="zh-CN" w:bidi="ar-SA"/>
        </w:rPr>
        <w:t>万元、商品和服务支出</w:t>
      </w:r>
      <w:r>
        <w:rPr>
          <w:rFonts w:hint="eastAsia" w:ascii="Times New Roman" w:hAnsi="仿宋_GB2312" w:eastAsia="仿宋_GB2312" w:cs="Times New Roman"/>
          <w:color w:val="000000"/>
          <w:kern w:val="0"/>
          <w:sz w:val="32"/>
          <w:szCs w:val="32"/>
          <w:lang w:val="en-US" w:eastAsia="zh-CN" w:bidi="ar-SA"/>
        </w:rPr>
        <w:t>3,234.28</w:t>
      </w:r>
      <w:r>
        <w:rPr>
          <w:rFonts w:ascii="Times New Roman" w:hAnsi="仿宋_GB2312" w:eastAsia="仿宋_GB2312" w:cs="Times New Roman"/>
          <w:color w:val="000000"/>
          <w:kern w:val="0"/>
          <w:sz w:val="32"/>
          <w:szCs w:val="32"/>
          <w:lang w:val="en-US" w:eastAsia="zh-CN" w:bidi="ar-SA"/>
        </w:rPr>
        <w:t>万元、资本性支出</w:t>
      </w:r>
      <w:r>
        <w:rPr>
          <w:rFonts w:hint="eastAsia" w:ascii="Times New Roman" w:hAnsi="仿宋_GB2312" w:eastAsia="仿宋_GB2312" w:cs="Times New Roman"/>
          <w:color w:val="000000"/>
          <w:kern w:val="0"/>
          <w:sz w:val="32"/>
          <w:szCs w:val="32"/>
          <w:lang w:val="en-US" w:eastAsia="zh-CN" w:bidi="ar-SA"/>
        </w:rPr>
        <w:t>1,354.43</w:t>
      </w:r>
      <w:r>
        <w:rPr>
          <w:rFonts w:ascii="Times New Roman" w:hAnsi="仿宋_GB2312" w:eastAsia="仿宋_GB2312" w:cs="Times New Roman"/>
          <w:color w:val="000000"/>
          <w:kern w:val="0"/>
          <w:sz w:val="32"/>
          <w:szCs w:val="32"/>
          <w:lang w:val="en-US" w:eastAsia="zh-CN" w:bidi="ar-SA"/>
        </w:rPr>
        <w:t xml:space="preserve">万元。 </w:t>
      </w:r>
    </w:p>
    <w:p>
      <w:pPr>
        <w:widowControl/>
        <w:spacing w:line="240" w:lineRule="auto"/>
        <w:ind w:firstLine="480"/>
        <w:jc w:val="left"/>
        <w:rPr>
          <w:rFonts w:hint="eastAsia" w:ascii="楷体_GB2312" w:eastAsia="楷体_GB2312"/>
          <w:kern w:val="0"/>
          <w:sz w:val="32"/>
          <w:szCs w:val="32"/>
        </w:rPr>
      </w:pPr>
      <w:r>
        <w:rPr>
          <w:rFonts w:hint="eastAsia" w:ascii="楷体_GB2312" w:eastAsia="楷体_GB2312"/>
          <w:kern w:val="0"/>
          <w:sz w:val="32"/>
          <w:szCs w:val="32"/>
        </w:rPr>
        <w:t>（二）2019年度部门预算收支决算情况</w:t>
      </w:r>
    </w:p>
    <w:p>
      <w:pPr>
        <w:widowControl/>
        <w:spacing w:line="240" w:lineRule="auto"/>
        <w:ind w:firstLine="482"/>
        <w:jc w:val="center"/>
        <w:rPr>
          <w:rFonts w:eastAsia="仿宋_GB2312"/>
          <w:kern w:val="0"/>
          <w:sz w:val="32"/>
          <w:szCs w:val="32"/>
        </w:rPr>
      </w:pPr>
      <w:r>
        <w:rPr>
          <w:rFonts w:eastAsia="仿宋_GB2312"/>
          <w:b/>
          <w:bCs/>
          <w:kern w:val="0"/>
          <w:sz w:val="32"/>
          <w:szCs w:val="32"/>
        </w:rPr>
        <w:t>2019年度预算、决算、结余对比情况表</w:t>
      </w:r>
    </w:p>
    <w:p>
      <w:pPr>
        <w:widowControl/>
        <w:spacing w:line="240" w:lineRule="auto"/>
        <w:ind w:firstLine="482"/>
        <w:jc w:val="center"/>
        <w:rPr>
          <w:rFonts w:hint="eastAsia" w:asciiTheme="minorEastAsia" w:hAnsiTheme="minorEastAsia" w:eastAsiaTheme="minorEastAsia" w:cstheme="minorEastAsia"/>
          <w:kern w:val="0"/>
          <w:sz w:val="21"/>
          <w:szCs w:val="21"/>
        </w:rPr>
      </w:pPr>
      <w:r>
        <w:rPr>
          <w:rFonts w:eastAsia="仿宋_GB2312"/>
          <w:kern w:val="0"/>
          <w:sz w:val="32"/>
          <w:szCs w:val="32"/>
        </w:rPr>
        <w:t>                                                            </w:t>
      </w:r>
      <w:r>
        <w:rPr>
          <w:rFonts w:eastAsia="仿宋_GB2312"/>
          <w:kern w:val="0"/>
          <w:sz w:val="28"/>
          <w:szCs w:val="28"/>
        </w:rPr>
        <w:t>       </w:t>
      </w:r>
      <w:r>
        <w:rPr>
          <w:rFonts w:hint="eastAsia" w:asciiTheme="minorEastAsia" w:hAnsiTheme="minorEastAsia" w:eastAsiaTheme="minorEastAsia" w:cstheme="minorEastAsia"/>
          <w:kern w:val="0"/>
          <w:sz w:val="21"/>
          <w:szCs w:val="21"/>
        </w:rPr>
        <w:t> </w:t>
      </w:r>
      <w:r>
        <w:rPr>
          <w:rFonts w:hint="eastAsia" w:asciiTheme="minorEastAsia" w:hAnsi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w:t>
      </w:r>
      <w:r>
        <w:rPr>
          <w:rFonts w:hint="eastAsia" w:asciiTheme="minorEastAsia" w:hAnsiTheme="minorEastAsia" w:eastAsiaTheme="minorEastAsia" w:cstheme="minorEastAsia"/>
          <w:color w:val="000000"/>
          <w:kern w:val="0"/>
          <w:sz w:val="21"/>
          <w:szCs w:val="21"/>
        </w:rPr>
        <w:t>金额单位:万元</w:t>
      </w:r>
    </w:p>
    <w:tbl>
      <w:tblPr>
        <w:tblStyle w:val="5"/>
        <w:tblW w:w="8436" w:type="dxa"/>
        <w:tblInd w:w="0" w:type="dxa"/>
        <w:shd w:val="clear" w:color="auto" w:fill="auto"/>
        <w:tblLayout w:type="autofit"/>
        <w:tblCellMar>
          <w:top w:w="0" w:type="dxa"/>
          <w:left w:w="0" w:type="dxa"/>
          <w:bottom w:w="0" w:type="dxa"/>
          <w:right w:w="0" w:type="dxa"/>
        </w:tblCellMar>
      </w:tblPr>
      <w:tblGrid>
        <w:gridCol w:w="1101"/>
        <w:gridCol w:w="1047"/>
        <w:gridCol w:w="1047"/>
        <w:gridCol w:w="1047"/>
        <w:gridCol w:w="1047"/>
        <w:gridCol w:w="1053"/>
        <w:gridCol w:w="1047"/>
        <w:gridCol w:w="1047"/>
      </w:tblGrid>
      <w:tr>
        <w:tblPrEx>
          <w:shd w:val="clear" w:color="auto" w:fill="auto"/>
          <w:tblCellMar>
            <w:top w:w="0" w:type="dxa"/>
            <w:left w:w="0" w:type="dxa"/>
            <w:bottom w:w="0" w:type="dxa"/>
            <w:right w:w="0" w:type="dxa"/>
          </w:tblCellMar>
        </w:tblPrEx>
        <w:trPr>
          <w:trHeight w:val="388"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年初预算批复数</w:t>
            </w:r>
          </w:p>
        </w:tc>
        <w:tc>
          <w:tcPr>
            <w:tcW w:w="41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决算支出金额</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w:t>
            </w:r>
          </w:p>
        </w:tc>
      </w:tr>
      <w:tr>
        <w:tblPrEx>
          <w:shd w:val="clear" w:color="auto" w:fill="auto"/>
          <w:tblCellMar>
            <w:top w:w="0" w:type="dxa"/>
            <w:left w:w="0" w:type="dxa"/>
            <w:bottom w:w="0" w:type="dxa"/>
            <w:right w:w="0" w:type="dxa"/>
          </w:tblCellMar>
        </w:tblPrEx>
        <w:trPr>
          <w:trHeight w:val="68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调整后年初预算</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上年结转</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本年追加</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53"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7,029.75</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7,029.75</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134.98</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1,672.02</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8,836.75</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8,558.91</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277.84</w:t>
            </w:r>
          </w:p>
        </w:tc>
      </w:tr>
      <w:tr>
        <w:tblPrEx>
          <w:shd w:val="clear" w:color="auto" w:fill="auto"/>
          <w:tblCellMar>
            <w:top w:w="0" w:type="dxa"/>
            <w:left w:w="0" w:type="dxa"/>
            <w:bottom w:w="0" w:type="dxa"/>
            <w:right w:w="0" w:type="dxa"/>
          </w:tblCellMar>
        </w:tblPrEx>
        <w:trPr>
          <w:trHeight w:val="353"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3,230.46</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2,725.46</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3,379.23</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1,790.31</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7,895.00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4,600.80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3,294.20</w:t>
            </w:r>
          </w:p>
        </w:tc>
      </w:tr>
      <w:tr>
        <w:tblPrEx>
          <w:shd w:val="clear" w:color="auto" w:fill="auto"/>
          <w:tblCellMar>
            <w:top w:w="0" w:type="dxa"/>
            <w:left w:w="0" w:type="dxa"/>
            <w:bottom w:w="0" w:type="dxa"/>
            <w:right w:w="0" w:type="dxa"/>
          </w:tblCellMar>
        </w:tblPrEx>
        <w:trPr>
          <w:trHeight w:val="364"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10,260.21</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9,755.21</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3,514.21</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3,462.33</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16,731.75</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13,159.71</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3,572.04</w:t>
            </w:r>
          </w:p>
        </w:tc>
      </w:tr>
    </w:tbl>
    <w:p>
      <w:pPr>
        <w:widowControl/>
        <w:spacing w:line="240" w:lineRule="auto"/>
        <w:ind w:firstLine="480"/>
        <w:jc w:val="left"/>
        <w:rPr>
          <w:rFonts w:eastAsia="仿宋_GB2312"/>
          <w:kern w:val="0"/>
          <w:sz w:val="32"/>
          <w:szCs w:val="32"/>
        </w:rPr>
      </w:pPr>
      <w:r>
        <w:rPr>
          <w:rFonts w:eastAsia="仿宋_GB2312"/>
          <w:kern w:val="0"/>
          <w:sz w:val="32"/>
          <w:szCs w:val="32"/>
        </w:rPr>
        <w:t>表上反映情况说明：</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因我局是涉改新组建单位，2019年预算批复数系原市工商局、原市质监局、原市食药监局三单位及其二级单位预算批复数之和。预算批复发展专项三个，分别是市级食品安全监督抽检专项、国家食品安全城市创建经费专项、知识产权推进与专利资助专项。项目预算调整数2,725.46万元，比预算批复数3,230.46万元，减少505.00万元(市级食品安全监督抽检专项经费按市级食品安全监督抽检专项计划方案报财政审核拨付至市直相关单位)。市级食品安全监督抽检专项经费预算1,450.00万元，我局2019年度实际收到该专项经费945.00万元，其中市本级360.00万元，市食品检验所356.00万元，市产商品质量监督检验所229.00万元。</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1.本年追加经费说明：基本支出增加1,672.02万元，项目支出增加1,790.31万元。主要原因是：机构改革，原价监局及原知识产权局人员划转至我局、工资调标等方面；追加中央、省级专项资金及市级智慧常德建设资金等。</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2.结转2020年资金3,572.04万元，其主要是国检中心-基建银行存款账户余额结转(上年结转1,007.93万元，年末结转981.05万元)，中央、省专项补助资金、部门预算项目结转、部门预算及纳入预算的非税收入拨款、预算外其他及往来资金结转。比2018年三单位决算结转之和3,514.21万元增加57.83万元，主要原因一是2019年划入价格监督检查等职能致专项经费增加；二是单位整合期间，部分专项工作未执行完毕。</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（三）2019年度三公经费支出使用和管理情况</w:t>
      </w:r>
    </w:p>
    <w:p>
      <w:pPr>
        <w:widowControl/>
        <w:spacing w:line="240" w:lineRule="auto"/>
        <w:ind w:firstLine="482"/>
        <w:jc w:val="center"/>
        <w:rPr>
          <w:rFonts w:eastAsia="仿宋_GB2312"/>
          <w:b/>
          <w:bCs/>
          <w:color w:val="000000"/>
          <w:kern w:val="0"/>
          <w:sz w:val="32"/>
          <w:szCs w:val="32"/>
        </w:rPr>
      </w:pPr>
      <w:r>
        <w:rPr>
          <w:rFonts w:eastAsia="仿宋_GB2312"/>
          <w:b/>
          <w:bCs/>
          <w:color w:val="000000"/>
          <w:kern w:val="0"/>
          <w:sz w:val="32"/>
          <w:szCs w:val="32"/>
        </w:rPr>
        <w:t>2019年度</w:t>
      </w:r>
      <w:r>
        <w:rPr>
          <w:rFonts w:hint="eastAsia" w:eastAsia="仿宋_GB2312"/>
          <w:b/>
          <w:bCs/>
          <w:color w:val="000000"/>
          <w:kern w:val="0"/>
          <w:sz w:val="32"/>
          <w:szCs w:val="32"/>
          <w:lang w:eastAsia="zh-CN"/>
        </w:rPr>
        <w:t>“</w:t>
      </w:r>
      <w:r>
        <w:rPr>
          <w:rFonts w:eastAsia="仿宋_GB2312"/>
          <w:b/>
          <w:bCs/>
          <w:color w:val="000000"/>
          <w:kern w:val="0"/>
          <w:sz w:val="32"/>
          <w:szCs w:val="32"/>
        </w:rPr>
        <w:t>三公</w:t>
      </w:r>
      <w:r>
        <w:rPr>
          <w:rFonts w:hint="eastAsia" w:eastAsia="仿宋_GB2312"/>
          <w:b/>
          <w:bCs/>
          <w:color w:val="000000"/>
          <w:kern w:val="0"/>
          <w:sz w:val="32"/>
          <w:szCs w:val="32"/>
          <w:lang w:eastAsia="zh-CN"/>
        </w:rPr>
        <w:t>”</w:t>
      </w:r>
      <w:r>
        <w:rPr>
          <w:rFonts w:eastAsia="仿宋_GB2312"/>
          <w:b/>
          <w:bCs/>
          <w:color w:val="000000"/>
          <w:kern w:val="0"/>
          <w:sz w:val="32"/>
          <w:szCs w:val="32"/>
        </w:rPr>
        <w:t>经费开支情况表</w:t>
      </w:r>
    </w:p>
    <w:p>
      <w:pPr>
        <w:widowControl/>
        <w:spacing w:line="240" w:lineRule="auto"/>
        <w:ind w:firstLine="482"/>
        <w:jc w:val="center"/>
        <w:rPr>
          <w:rFonts w:eastAsia="仿宋_GB2312"/>
          <w:b/>
          <w:bCs/>
          <w:color w:val="000000"/>
          <w:kern w:val="0"/>
          <w:sz w:val="32"/>
          <w:szCs w:val="32"/>
        </w:rPr>
      </w:pPr>
      <w:r>
        <w:rPr>
          <w:rFonts w:eastAsia="仿宋_GB2312"/>
          <w:b/>
          <w:bCs/>
          <w:color w:val="000000"/>
          <w:kern w:val="0"/>
          <w:sz w:val="18"/>
          <w:szCs w:val="18"/>
        </w:rPr>
        <w:t>     </w:t>
      </w:r>
      <w:r>
        <w:rPr>
          <w:rFonts w:hint="eastAsia" w:eastAsia="仿宋_GB2312"/>
          <w:b/>
          <w:bCs/>
          <w:color w:val="000000"/>
          <w:kern w:val="0"/>
          <w:sz w:val="18"/>
          <w:szCs w:val="18"/>
          <w:lang w:val="en-US" w:eastAsia="zh-CN"/>
        </w:rPr>
        <w:t xml:space="preserve">                                                            </w:t>
      </w:r>
      <w:r>
        <w:rPr>
          <w:rFonts w:eastAsia="仿宋_GB2312"/>
          <w:b/>
          <w:bCs/>
          <w:color w:val="000000"/>
          <w:kern w:val="0"/>
          <w:sz w:val="18"/>
          <w:szCs w:val="18"/>
        </w:rPr>
        <w:t xml:space="preserve">   </w:t>
      </w:r>
      <w:r>
        <w:rPr>
          <w:rFonts w:eastAsia="仿宋_GB2312"/>
          <w:color w:val="000000"/>
          <w:kern w:val="0"/>
          <w:sz w:val="18"/>
          <w:szCs w:val="18"/>
        </w:rPr>
        <w:t>金额单位:万元</w:t>
      </w:r>
    </w:p>
    <w:tbl>
      <w:tblPr>
        <w:tblStyle w:val="5"/>
        <w:tblpPr w:leftFromText="180" w:rightFromText="180" w:vertAnchor="text" w:horzAnchor="page" w:tblpX="1568" w:tblpY="304"/>
        <w:tblOverlap w:val="never"/>
        <w:tblW w:w="8878" w:type="dxa"/>
        <w:tblInd w:w="0" w:type="dxa"/>
        <w:tblLayout w:type="fixed"/>
        <w:tblCellMar>
          <w:top w:w="0" w:type="dxa"/>
          <w:left w:w="108" w:type="dxa"/>
          <w:bottom w:w="0" w:type="dxa"/>
          <w:right w:w="108" w:type="dxa"/>
        </w:tblCellMar>
      </w:tblPr>
      <w:tblGrid>
        <w:gridCol w:w="2261"/>
        <w:gridCol w:w="920"/>
        <w:gridCol w:w="921"/>
        <w:gridCol w:w="780"/>
        <w:gridCol w:w="765"/>
        <w:gridCol w:w="1234"/>
        <w:gridCol w:w="1042"/>
        <w:gridCol w:w="955"/>
      </w:tblGrid>
      <w:tr>
        <w:tblPrEx>
          <w:tblCellMar>
            <w:top w:w="0" w:type="dxa"/>
            <w:left w:w="108" w:type="dxa"/>
            <w:bottom w:w="0" w:type="dxa"/>
            <w:right w:w="108" w:type="dxa"/>
          </w:tblCellMar>
        </w:tblPrEx>
        <w:trPr>
          <w:trHeight w:val="562" w:hRule="atLeast"/>
        </w:trPr>
        <w:tc>
          <w:tcPr>
            <w:tcW w:w="2261" w:type="dxa"/>
            <w:vMerge w:val="restart"/>
            <w:tcBorders>
              <w:top w:val="single" w:color="000000" w:sz="12" w:space="0"/>
              <w:left w:val="single" w:color="000000" w:sz="12" w:space="0"/>
              <w:bottom w:val="single" w:color="000000" w:sz="8" w:space="0"/>
              <w:right w:val="single" w:color="000000" w:sz="8" w:space="0"/>
            </w:tcBorders>
            <w:noWrap w:val="0"/>
            <w:vAlign w:val="center"/>
          </w:tcPr>
          <w:p>
            <w:pPr>
              <w:widowControl/>
              <w:spacing w:line="240" w:lineRule="auto"/>
              <w:jc w:val="center"/>
              <w:rPr>
                <w:rFonts w:hint="eastAsia" w:asciiTheme="minorEastAsia" w:hAnsiTheme="minorEastAsia" w:eastAsiaTheme="minorEastAsia" w:cstheme="minorEastAsia"/>
                <w:b w:val="0"/>
                <w:bCs w:val="0"/>
                <w:color w:val="000000"/>
                <w:kern w:val="0"/>
                <w:sz w:val="21"/>
                <w:szCs w:val="21"/>
                <w:highlight w:val="none"/>
                <w:lang w:val="en-US" w:eastAsia="zh-CN"/>
              </w:rPr>
            </w:pPr>
            <w:r>
              <w:rPr>
                <w:rFonts w:hint="eastAsia" w:asciiTheme="minorEastAsia" w:hAnsiTheme="minorEastAsia" w:eastAsiaTheme="minorEastAsia" w:cstheme="minorEastAsia"/>
                <w:b w:val="0"/>
                <w:bCs w:val="0"/>
                <w:color w:val="000000"/>
                <w:kern w:val="0"/>
                <w:sz w:val="21"/>
                <w:szCs w:val="21"/>
                <w:highlight w:val="none"/>
                <w:lang w:val="en-US" w:eastAsia="zh-CN"/>
              </w:rPr>
              <w:t>项 目</w:t>
            </w:r>
          </w:p>
        </w:tc>
        <w:tc>
          <w:tcPr>
            <w:tcW w:w="1841" w:type="dxa"/>
            <w:gridSpan w:val="2"/>
            <w:tcBorders>
              <w:top w:val="single" w:color="000000" w:sz="12" w:space="0"/>
              <w:left w:val="nil"/>
              <w:bottom w:val="single" w:color="000000" w:sz="8" w:space="0"/>
              <w:right w:val="single" w:color="000000" w:sz="8" w:space="0"/>
            </w:tcBorders>
            <w:noWrap w:val="0"/>
            <w:vAlign w:val="center"/>
          </w:tcPr>
          <w:p>
            <w:pPr>
              <w:widowControl/>
              <w:spacing w:line="240" w:lineRule="auto"/>
              <w:jc w:val="center"/>
              <w:rPr>
                <w:rFonts w:hint="eastAsia" w:asciiTheme="minorEastAsia" w:hAnsiTheme="minorEastAsia" w:eastAsiaTheme="minorEastAsia" w:cstheme="minorEastAsia"/>
                <w:b w:val="0"/>
                <w:bCs w:val="0"/>
                <w:color w:val="000000"/>
                <w:kern w:val="0"/>
                <w:sz w:val="21"/>
                <w:szCs w:val="21"/>
                <w:highlight w:val="none"/>
                <w:lang w:val="en-US" w:eastAsia="zh-CN"/>
              </w:rPr>
            </w:pPr>
            <w:r>
              <w:rPr>
                <w:rFonts w:hint="eastAsia" w:asciiTheme="minorEastAsia" w:hAnsiTheme="minorEastAsia" w:eastAsiaTheme="minorEastAsia" w:cstheme="minorEastAsia"/>
                <w:b w:val="0"/>
                <w:bCs w:val="0"/>
                <w:color w:val="000000"/>
                <w:kern w:val="0"/>
                <w:sz w:val="21"/>
                <w:szCs w:val="21"/>
                <w:highlight w:val="none"/>
                <w:lang w:val="en-US" w:eastAsia="zh-CN"/>
              </w:rPr>
              <w:t>2019年</w:t>
            </w:r>
          </w:p>
        </w:tc>
        <w:tc>
          <w:tcPr>
            <w:tcW w:w="1545" w:type="dxa"/>
            <w:gridSpan w:val="2"/>
            <w:tcBorders>
              <w:top w:val="single" w:color="000000" w:sz="12" w:space="0"/>
              <w:left w:val="single" w:color="000000" w:sz="8" w:space="0"/>
              <w:bottom w:val="single" w:color="000000" w:sz="8" w:space="0"/>
              <w:right w:val="single" w:color="000000" w:sz="8" w:space="0"/>
            </w:tcBorders>
            <w:noWrap w:val="0"/>
            <w:vAlign w:val="center"/>
          </w:tcPr>
          <w:p>
            <w:pPr>
              <w:widowControl/>
              <w:spacing w:line="240" w:lineRule="auto"/>
              <w:jc w:val="center"/>
              <w:rPr>
                <w:rFonts w:hint="eastAsia" w:asciiTheme="minorEastAsia" w:hAnsiTheme="minorEastAsia" w:eastAsiaTheme="minorEastAsia" w:cstheme="minorEastAsia"/>
                <w:b w:val="0"/>
                <w:bCs w:val="0"/>
                <w:color w:val="000000"/>
                <w:kern w:val="0"/>
                <w:sz w:val="21"/>
                <w:szCs w:val="21"/>
                <w:highlight w:val="none"/>
                <w:lang w:val="en-US" w:eastAsia="zh-CN"/>
              </w:rPr>
            </w:pPr>
            <w:r>
              <w:rPr>
                <w:rFonts w:hint="eastAsia" w:asciiTheme="minorEastAsia" w:hAnsiTheme="minorEastAsia" w:eastAsiaTheme="minorEastAsia" w:cstheme="minorEastAsia"/>
                <w:b w:val="0"/>
                <w:bCs w:val="0"/>
                <w:color w:val="000000"/>
                <w:kern w:val="0"/>
                <w:sz w:val="21"/>
                <w:szCs w:val="21"/>
                <w:highlight w:val="none"/>
                <w:lang w:val="en-US" w:eastAsia="zh-CN"/>
              </w:rPr>
              <w:t>2018年</w:t>
            </w:r>
          </w:p>
        </w:tc>
        <w:tc>
          <w:tcPr>
            <w:tcW w:w="1234" w:type="dxa"/>
            <w:vMerge w:val="restart"/>
            <w:tcBorders>
              <w:top w:val="single" w:color="000000" w:sz="12" w:space="0"/>
              <w:left w:val="single" w:color="000000" w:sz="8" w:space="0"/>
              <w:bottom w:val="single" w:color="000000" w:sz="8" w:space="0"/>
              <w:right w:val="single" w:color="000000" w:sz="8" w:space="0"/>
            </w:tcBorders>
            <w:noWrap w:val="0"/>
            <w:vAlign w:val="center"/>
          </w:tcPr>
          <w:p>
            <w:pPr>
              <w:widowControl/>
              <w:spacing w:line="240" w:lineRule="auto"/>
              <w:jc w:val="center"/>
              <w:rPr>
                <w:rFonts w:hint="eastAsia" w:asciiTheme="minorEastAsia" w:hAnsiTheme="minorEastAsia" w:eastAsiaTheme="minorEastAsia" w:cstheme="minorEastAsia"/>
                <w:b w:val="0"/>
                <w:bCs w:val="0"/>
                <w:color w:val="000000"/>
                <w:kern w:val="0"/>
                <w:sz w:val="21"/>
                <w:szCs w:val="21"/>
                <w:highlight w:val="none"/>
                <w:lang w:val="en-US" w:eastAsia="zh-CN"/>
              </w:rPr>
            </w:pPr>
            <w:r>
              <w:rPr>
                <w:rFonts w:hint="eastAsia" w:asciiTheme="minorEastAsia" w:hAnsiTheme="minorEastAsia" w:eastAsiaTheme="minorEastAsia" w:cstheme="minorEastAsia"/>
                <w:b w:val="0"/>
                <w:bCs w:val="0"/>
                <w:color w:val="000000"/>
                <w:kern w:val="0"/>
                <w:sz w:val="21"/>
                <w:szCs w:val="21"/>
                <w:highlight w:val="none"/>
                <w:lang w:val="en-US" w:eastAsia="zh-CN"/>
              </w:rPr>
              <w:t>预、决算对比（决算-预算）</w:t>
            </w:r>
          </w:p>
        </w:tc>
        <w:tc>
          <w:tcPr>
            <w:tcW w:w="1042" w:type="dxa"/>
            <w:vMerge w:val="restart"/>
            <w:tcBorders>
              <w:top w:val="single" w:color="000000" w:sz="12" w:space="0"/>
              <w:left w:val="single" w:color="000000" w:sz="8" w:space="0"/>
              <w:bottom w:val="single" w:color="000000" w:sz="8" w:space="0"/>
              <w:right w:val="single" w:color="000000" w:sz="12" w:space="0"/>
            </w:tcBorders>
            <w:noWrap w:val="0"/>
            <w:vAlign w:val="center"/>
          </w:tcPr>
          <w:p>
            <w:pPr>
              <w:widowControl/>
              <w:spacing w:line="240" w:lineRule="auto"/>
              <w:jc w:val="center"/>
              <w:rPr>
                <w:rFonts w:hint="eastAsia" w:asciiTheme="minorEastAsia" w:hAnsiTheme="minorEastAsia" w:eastAsiaTheme="minorEastAsia" w:cstheme="minorEastAsia"/>
                <w:b w:val="0"/>
                <w:bCs w:val="0"/>
                <w:color w:val="000000"/>
                <w:kern w:val="0"/>
                <w:sz w:val="21"/>
                <w:szCs w:val="21"/>
                <w:highlight w:val="none"/>
                <w:lang w:val="en-US" w:eastAsia="zh-CN"/>
              </w:rPr>
            </w:pPr>
            <w:r>
              <w:rPr>
                <w:rFonts w:hint="eastAsia" w:asciiTheme="minorEastAsia" w:hAnsiTheme="minorEastAsia" w:eastAsiaTheme="minorEastAsia" w:cstheme="minorEastAsia"/>
                <w:b w:val="0"/>
                <w:bCs w:val="0"/>
                <w:color w:val="000000"/>
                <w:kern w:val="0"/>
                <w:sz w:val="21"/>
                <w:szCs w:val="21"/>
                <w:highlight w:val="none"/>
                <w:lang w:val="en-US" w:eastAsia="zh-CN"/>
              </w:rPr>
              <w:t>预算变动率(较上年）</w:t>
            </w:r>
          </w:p>
        </w:tc>
        <w:tc>
          <w:tcPr>
            <w:tcW w:w="955" w:type="dxa"/>
            <w:vMerge w:val="restart"/>
            <w:tcBorders>
              <w:top w:val="single" w:color="000000" w:sz="12" w:space="0"/>
              <w:left w:val="single" w:color="000000" w:sz="8" w:space="0"/>
              <w:right w:val="single" w:color="000000" w:sz="12" w:space="0"/>
            </w:tcBorders>
            <w:noWrap w:val="0"/>
            <w:vAlign w:val="center"/>
          </w:tcPr>
          <w:p>
            <w:pPr>
              <w:widowControl/>
              <w:spacing w:line="240" w:lineRule="auto"/>
              <w:jc w:val="center"/>
              <w:rPr>
                <w:rFonts w:hint="eastAsia" w:asciiTheme="minorEastAsia" w:hAnsiTheme="minorEastAsia" w:eastAsiaTheme="minorEastAsia" w:cstheme="minorEastAsia"/>
                <w:b w:val="0"/>
                <w:bCs w:val="0"/>
                <w:color w:val="000000"/>
                <w:kern w:val="0"/>
                <w:sz w:val="21"/>
                <w:szCs w:val="21"/>
                <w:highlight w:val="none"/>
                <w:lang w:val="en-US" w:eastAsia="zh-CN"/>
              </w:rPr>
            </w:pPr>
            <w:r>
              <w:rPr>
                <w:rFonts w:hint="eastAsia" w:asciiTheme="minorEastAsia" w:hAnsiTheme="minorEastAsia" w:eastAsiaTheme="minorEastAsia" w:cstheme="minorEastAsia"/>
                <w:b w:val="0"/>
                <w:bCs w:val="0"/>
                <w:color w:val="000000"/>
                <w:kern w:val="0"/>
                <w:sz w:val="21"/>
                <w:szCs w:val="21"/>
                <w:highlight w:val="none"/>
                <w:lang w:val="en-US" w:eastAsia="zh-CN"/>
              </w:rPr>
              <w:t>决算增减(较上年）</w:t>
            </w:r>
          </w:p>
        </w:tc>
      </w:tr>
      <w:tr>
        <w:tblPrEx>
          <w:tblCellMar>
            <w:top w:w="0" w:type="dxa"/>
            <w:left w:w="108" w:type="dxa"/>
            <w:bottom w:w="0" w:type="dxa"/>
            <w:right w:w="108" w:type="dxa"/>
          </w:tblCellMar>
        </w:tblPrEx>
        <w:trPr>
          <w:trHeight w:val="626" w:hRule="atLeast"/>
        </w:trPr>
        <w:tc>
          <w:tcPr>
            <w:tcW w:w="2261" w:type="dxa"/>
            <w:vMerge w:val="continue"/>
            <w:tcBorders>
              <w:top w:val="single" w:color="000000" w:sz="12" w:space="0"/>
              <w:left w:val="single" w:color="000000" w:sz="12" w:space="0"/>
              <w:bottom w:val="single" w:color="000000" w:sz="8" w:space="0"/>
              <w:right w:val="single" w:color="000000" w:sz="8" w:space="0"/>
            </w:tcBorders>
            <w:noWrap w:val="0"/>
            <w:vAlign w:val="center"/>
          </w:tcPr>
          <w:p>
            <w:pPr>
              <w:widowControl/>
              <w:spacing w:line="240" w:lineRule="auto"/>
              <w:jc w:val="center"/>
              <w:rPr>
                <w:rFonts w:hint="default" w:eastAsia="仿宋_GB2312"/>
                <w:b/>
                <w:bCs/>
                <w:color w:val="000000"/>
                <w:kern w:val="0"/>
                <w:sz w:val="18"/>
                <w:szCs w:val="18"/>
                <w:highlight w:val="none"/>
                <w:lang w:val="en-US" w:eastAsia="zh-CN"/>
              </w:rPr>
            </w:pPr>
          </w:p>
        </w:tc>
        <w:tc>
          <w:tcPr>
            <w:tcW w:w="9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预算金额</w:t>
            </w:r>
          </w:p>
        </w:tc>
        <w:tc>
          <w:tcPr>
            <w:tcW w:w="92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决算金额</w:t>
            </w:r>
          </w:p>
        </w:tc>
        <w:tc>
          <w:tcPr>
            <w:tcW w:w="78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预算金额</w:t>
            </w:r>
          </w:p>
        </w:tc>
        <w:tc>
          <w:tcPr>
            <w:tcW w:w="7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决算金额</w:t>
            </w:r>
          </w:p>
        </w:tc>
        <w:tc>
          <w:tcPr>
            <w:tcW w:w="1234" w:type="dxa"/>
            <w:vMerge w:val="continue"/>
            <w:tcBorders>
              <w:top w:val="single" w:color="000000" w:sz="12" w:space="0"/>
              <w:left w:val="single" w:color="000000" w:sz="8" w:space="0"/>
              <w:bottom w:val="single" w:color="000000" w:sz="8" w:space="0"/>
              <w:right w:val="single" w:color="000000" w:sz="8" w:space="0"/>
            </w:tcBorders>
            <w:noWrap w:val="0"/>
            <w:vAlign w:val="center"/>
          </w:tcPr>
          <w:p>
            <w:pPr>
              <w:widowControl/>
              <w:spacing w:line="240" w:lineRule="auto"/>
              <w:jc w:val="center"/>
              <w:rPr>
                <w:rFonts w:hint="default" w:eastAsia="仿宋_GB2312"/>
                <w:b/>
                <w:bCs/>
                <w:color w:val="000000"/>
                <w:kern w:val="0"/>
                <w:sz w:val="18"/>
                <w:szCs w:val="18"/>
                <w:highlight w:val="none"/>
                <w:lang w:val="en-US" w:eastAsia="zh-CN"/>
              </w:rPr>
            </w:pPr>
          </w:p>
        </w:tc>
        <w:tc>
          <w:tcPr>
            <w:tcW w:w="1042" w:type="dxa"/>
            <w:vMerge w:val="continue"/>
            <w:tcBorders>
              <w:top w:val="single" w:color="000000" w:sz="12" w:space="0"/>
              <w:left w:val="single" w:color="000000" w:sz="8" w:space="0"/>
              <w:bottom w:val="single" w:color="000000" w:sz="8" w:space="0"/>
              <w:right w:val="single" w:color="000000" w:sz="12" w:space="0"/>
            </w:tcBorders>
            <w:noWrap w:val="0"/>
            <w:vAlign w:val="center"/>
          </w:tcPr>
          <w:p>
            <w:pPr>
              <w:widowControl/>
              <w:spacing w:line="240" w:lineRule="auto"/>
              <w:jc w:val="center"/>
              <w:rPr>
                <w:rFonts w:hint="default" w:eastAsia="仿宋_GB2312"/>
                <w:b/>
                <w:bCs/>
                <w:color w:val="000000"/>
                <w:kern w:val="0"/>
                <w:sz w:val="18"/>
                <w:szCs w:val="18"/>
                <w:highlight w:val="none"/>
                <w:lang w:val="en-US" w:eastAsia="zh-CN"/>
              </w:rPr>
            </w:pPr>
          </w:p>
        </w:tc>
        <w:tc>
          <w:tcPr>
            <w:tcW w:w="955" w:type="dxa"/>
            <w:vMerge w:val="continue"/>
            <w:tcBorders>
              <w:left w:val="single" w:color="000000" w:sz="8" w:space="0"/>
              <w:bottom w:val="single" w:color="000000" w:sz="8" w:space="0"/>
              <w:right w:val="single" w:color="000000" w:sz="12" w:space="0"/>
            </w:tcBorders>
            <w:noWrap w:val="0"/>
            <w:vAlign w:val="center"/>
          </w:tcPr>
          <w:p>
            <w:pPr>
              <w:widowControl/>
              <w:spacing w:line="240" w:lineRule="auto"/>
              <w:jc w:val="center"/>
              <w:rPr>
                <w:rFonts w:hint="default" w:eastAsia="仿宋_GB2312"/>
                <w:b/>
                <w:bCs/>
                <w:color w:val="000000"/>
                <w:kern w:val="0"/>
                <w:sz w:val="18"/>
                <w:szCs w:val="18"/>
                <w:highlight w:val="none"/>
                <w:lang w:val="en-US" w:eastAsia="zh-CN"/>
              </w:rPr>
            </w:pPr>
          </w:p>
        </w:tc>
      </w:tr>
      <w:tr>
        <w:tblPrEx>
          <w:tblCellMar>
            <w:top w:w="0" w:type="dxa"/>
            <w:left w:w="108" w:type="dxa"/>
            <w:bottom w:w="0" w:type="dxa"/>
            <w:right w:w="108" w:type="dxa"/>
          </w:tblCellMar>
        </w:tblPrEx>
        <w:trPr>
          <w:trHeight w:val="465" w:hRule="atLeast"/>
        </w:trPr>
        <w:tc>
          <w:tcPr>
            <w:tcW w:w="2261" w:type="dxa"/>
            <w:tcBorders>
              <w:top w:val="nil"/>
              <w:left w:val="single" w:color="000000" w:sz="12" w:space="0"/>
              <w:bottom w:val="single" w:color="000000" w:sz="8" w:space="0"/>
              <w:right w:val="single" w:color="000000" w:sz="8" w:space="0"/>
            </w:tcBorders>
            <w:noWrap w:val="0"/>
            <w:vAlign w:val="center"/>
          </w:tcPr>
          <w:p>
            <w:pPr>
              <w:widowControl/>
              <w:spacing w:line="240" w:lineRule="auto"/>
              <w:jc w:val="center"/>
              <w:rPr>
                <w:rFonts w:hint="eastAsia" w:asciiTheme="minorEastAsia" w:hAnsiTheme="minorEastAsia" w:eastAsiaTheme="minorEastAsia" w:cstheme="minorEastAsia"/>
                <w:b w:val="0"/>
                <w:bCs w:val="0"/>
                <w:color w:val="000000"/>
                <w:kern w:val="0"/>
                <w:sz w:val="18"/>
                <w:szCs w:val="18"/>
                <w:highlight w:val="none"/>
                <w:lang w:val="en-US" w:eastAsia="zh-CN"/>
              </w:rPr>
            </w:pPr>
            <w:r>
              <w:rPr>
                <w:rFonts w:hint="eastAsia" w:asciiTheme="minorEastAsia" w:hAnsiTheme="minorEastAsia" w:eastAsiaTheme="minorEastAsia" w:cstheme="minorEastAsia"/>
                <w:b w:val="0"/>
                <w:bCs w:val="0"/>
                <w:color w:val="000000"/>
                <w:kern w:val="0"/>
                <w:sz w:val="18"/>
                <w:szCs w:val="18"/>
                <w:highlight w:val="none"/>
                <w:lang w:val="en-US" w:eastAsia="zh-CN"/>
              </w:rPr>
              <w:t>公务接待费</w:t>
            </w:r>
          </w:p>
        </w:tc>
        <w:tc>
          <w:tcPr>
            <w:tcW w:w="920"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38.60</w:t>
            </w:r>
          </w:p>
        </w:tc>
        <w:tc>
          <w:tcPr>
            <w:tcW w:w="921"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34.38</w:t>
            </w:r>
          </w:p>
        </w:tc>
        <w:tc>
          <w:tcPr>
            <w:tcW w:w="780"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765"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1234"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-4.22</w:t>
            </w:r>
          </w:p>
        </w:tc>
        <w:tc>
          <w:tcPr>
            <w:tcW w:w="1042" w:type="dxa"/>
            <w:tcBorders>
              <w:top w:val="nil"/>
              <w:left w:val="nil"/>
              <w:bottom w:val="single" w:color="000000" w:sz="8" w:space="0"/>
              <w:right w:val="single" w:color="000000" w:sz="12"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955" w:type="dxa"/>
            <w:tcBorders>
              <w:top w:val="nil"/>
              <w:left w:val="nil"/>
              <w:bottom w:val="single" w:color="000000" w:sz="8" w:space="0"/>
              <w:right w:val="single" w:color="000000" w:sz="12"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bidi="ar-SA"/>
              </w:rPr>
            </w:pPr>
            <w:r>
              <w:rPr>
                <w:rFonts w:hint="default" w:ascii="Times New Roman" w:hAnsi="Times New Roman" w:eastAsia="仿宋_GB2312" w:cs="Times New Roman"/>
                <w:b w:val="0"/>
                <w:bCs w:val="0"/>
                <w:color w:val="000000"/>
                <w:kern w:val="0"/>
                <w:sz w:val="20"/>
                <w:szCs w:val="20"/>
                <w:highlight w:val="none"/>
                <w:lang w:val="en-US" w:eastAsia="zh-CN"/>
              </w:rPr>
              <w:t>-</w:t>
            </w:r>
          </w:p>
        </w:tc>
      </w:tr>
      <w:tr>
        <w:tblPrEx>
          <w:tblCellMar>
            <w:top w:w="0" w:type="dxa"/>
            <w:left w:w="108" w:type="dxa"/>
            <w:bottom w:w="0" w:type="dxa"/>
            <w:right w:w="108" w:type="dxa"/>
          </w:tblCellMar>
        </w:tblPrEx>
        <w:trPr>
          <w:trHeight w:val="465" w:hRule="atLeast"/>
        </w:trPr>
        <w:tc>
          <w:tcPr>
            <w:tcW w:w="2261" w:type="dxa"/>
            <w:tcBorders>
              <w:top w:val="nil"/>
              <w:left w:val="single" w:color="000000" w:sz="12" w:space="0"/>
              <w:bottom w:val="single" w:color="000000" w:sz="8" w:space="0"/>
              <w:right w:val="single" w:color="000000" w:sz="8" w:space="0"/>
            </w:tcBorders>
            <w:noWrap w:val="0"/>
            <w:vAlign w:val="center"/>
          </w:tcPr>
          <w:p>
            <w:pPr>
              <w:widowControl/>
              <w:spacing w:line="240" w:lineRule="auto"/>
              <w:jc w:val="center"/>
              <w:rPr>
                <w:rFonts w:hint="eastAsia" w:asciiTheme="minorEastAsia" w:hAnsiTheme="minorEastAsia" w:eastAsiaTheme="minorEastAsia" w:cstheme="minorEastAsia"/>
                <w:b w:val="0"/>
                <w:bCs w:val="0"/>
                <w:color w:val="000000"/>
                <w:kern w:val="0"/>
                <w:sz w:val="18"/>
                <w:szCs w:val="18"/>
                <w:highlight w:val="none"/>
                <w:lang w:val="en-US" w:eastAsia="zh-CN"/>
              </w:rPr>
            </w:pPr>
            <w:r>
              <w:rPr>
                <w:rFonts w:hint="eastAsia" w:asciiTheme="minorEastAsia" w:hAnsiTheme="minorEastAsia" w:eastAsiaTheme="minorEastAsia" w:cstheme="minorEastAsia"/>
                <w:b w:val="0"/>
                <w:bCs w:val="0"/>
                <w:color w:val="000000"/>
                <w:kern w:val="0"/>
                <w:sz w:val="16"/>
                <w:szCs w:val="16"/>
                <w:highlight w:val="none"/>
                <w:lang w:val="en-US" w:eastAsia="zh-CN"/>
              </w:rPr>
              <w:t>公务用车购置及运行维护费</w:t>
            </w:r>
          </w:p>
        </w:tc>
        <w:tc>
          <w:tcPr>
            <w:tcW w:w="920"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115.00</w:t>
            </w:r>
          </w:p>
        </w:tc>
        <w:tc>
          <w:tcPr>
            <w:tcW w:w="921"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143.30</w:t>
            </w:r>
          </w:p>
        </w:tc>
        <w:tc>
          <w:tcPr>
            <w:tcW w:w="780"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765"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1234"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28.30</w:t>
            </w:r>
          </w:p>
        </w:tc>
        <w:tc>
          <w:tcPr>
            <w:tcW w:w="1042" w:type="dxa"/>
            <w:tcBorders>
              <w:top w:val="nil"/>
              <w:left w:val="nil"/>
              <w:bottom w:val="single" w:color="000000" w:sz="8" w:space="0"/>
              <w:right w:val="single" w:color="000000" w:sz="12"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955" w:type="dxa"/>
            <w:tcBorders>
              <w:top w:val="nil"/>
              <w:left w:val="nil"/>
              <w:bottom w:val="single" w:color="000000" w:sz="8" w:space="0"/>
              <w:right w:val="single" w:color="000000" w:sz="12"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bidi="ar-SA"/>
              </w:rPr>
            </w:pPr>
            <w:r>
              <w:rPr>
                <w:rFonts w:hint="default" w:ascii="Times New Roman" w:hAnsi="Times New Roman" w:eastAsia="仿宋_GB2312" w:cs="Times New Roman"/>
                <w:b w:val="0"/>
                <w:bCs w:val="0"/>
                <w:color w:val="000000"/>
                <w:kern w:val="0"/>
                <w:sz w:val="20"/>
                <w:szCs w:val="20"/>
                <w:highlight w:val="none"/>
                <w:lang w:val="en-US" w:eastAsia="zh-CN"/>
              </w:rPr>
              <w:t>-</w:t>
            </w:r>
          </w:p>
        </w:tc>
      </w:tr>
      <w:tr>
        <w:tblPrEx>
          <w:tblCellMar>
            <w:top w:w="0" w:type="dxa"/>
            <w:left w:w="108" w:type="dxa"/>
            <w:bottom w:w="0" w:type="dxa"/>
            <w:right w:w="108" w:type="dxa"/>
          </w:tblCellMar>
        </w:tblPrEx>
        <w:trPr>
          <w:trHeight w:val="312" w:hRule="atLeast"/>
        </w:trPr>
        <w:tc>
          <w:tcPr>
            <w:tcW w:w="2261" w:type="dxa"/>
            <w:tcBorders>
              <w:top w:val="nil"/>
              <w:left w:val="single" w:color="000000" w:sz="12" w:space="0"/>
              <w:bottom w:val="single" w:color="000000" w:sz="8" w:space="0"/>
              <w:right w:val="single" w:color="000000" w:sz="8" w:space="0"/>
            </w:tcBorders>
            <w:noWrap/>
            <w:vAlign w:val="center"/>
          </w:tcPr>
          <w:p>
            <w:pPr>
              <w:widowControl/>
              <w:spacing w:line="240" w:lineRule="auto"/>
              <w:jc w:val="center"/>
              <w:rPr>
                <w:rFonts w:hint="eastAsia" w:asciiTheme="minorEastAsia" w:hAnsiTheme="minorEastAsia" w:eastAsiaTheme="minorEastAsia" w:cstheme="minorEastAsia"/>
                <w:b w:val="0"/>
                <w:bCs w:val="0"/>
                <w:color w:val="000000"/>
                <w:kern w:val="0"/>
                <w:sz w:val="18"/>
                <w:szCs w:val="18"/>
                <w:highlight w:val="none"/>
                <w:lang w:val="en-US" w:eastAsia="zh-CN"/>
              </w:rPr>
            </w:pPr>
            <w:r>
              <w:rPr>
                <w:rFonts w:hint="eastAsia" w:asciiTheme="minorEastAsia" w:hAnsiTheme="minorEastAsia" w:eastAsiaTheme="minorEastAsia" w:cstheme="minorEastAsia"/>
                <w:b w:val="0"/>
                <w:bCs w:val="0"/>
                <w:color w:val="000000"/>
                <w:kern w:val="0"/>
                <w:sz w:val="18"/>
                <w:szCs w:val="18"/>
                <w:highlight w:val="none"/>
                <w:lang w:val="en-US" w:eastAsia="zh-CN"/>
              </w:rPr>
              <w:t>其中：公务用车购置</w:t>
            </w:r>
          </w:p>
        </w:tc>
        <w:tc>
          <w:tcPr>
            <w:tcW w:w="920"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18.00</w:t>
            </w:r>
          </w:p>
        </w:tc>
        <w:tc>
          <w:tcPr>
            <w:tcW w:w="921"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46.27</w:t>
            </w:r>
          </w:p>
        </w:tc>
        <w:tc>
          <w:tcPr>
            <w:tcW w:w="780"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765"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1234"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28.27</w:t>
            </w:r>
          </w:p>
        </w:tc>
        <w:tc>
          <w:tcPr>
            <w:tcW w:w="1042" w:type="dxa"/>
            <w:tcBorders>
              <w:top w:val="nil"/>
              <w:left w:val="nil"/>
              <w:bottom w:val="single" w:color="000000" w:sz="8" w:space="0"/>
              <w:right w:val="single" w:color="000000" w:sz="12"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955" w:type="dxa"/>
            <w:tcBorders>
              <w:top w:val="nil"/>
              <w:left w:val="nil"/>
              <w:bottom w:val="single" w:color="000000" w:sz="8" w:space="0"/>
              <w:right w:val="single" w:color="000000" w:sz="12"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bidi="ar-SA"/>
              </w:rPr>
            </w:pPr>
            <w:r>
              <w:rPr>
                <w:rFonts w:hint="default" w:ascii="Times New Roman" w:hAnsi="Times New Roman" w:eastAsia="仿宋_GB2312" w:cs="Times New Roman"/>
                <w:b w:val="0"/>
                <w:bCs w:val="0"/>
                <w:color w:val="000000"/>
                <w:kern w:val="0"/>
                <w:sz w:val="20"/>
                <w:szCs w:val="20"/>
                <w:highlight w:val="none"/>
                <w:lang w:val="en-US" w:eastAsia="zh-CN"/>
              </w:rPr>
              <w:t>-</w:t>
            </w:r>
          </w:p>
        </w:tc>
      </w:tr>
      <w:tr>
        <w:tblPrEx>
          <w:tblCellMar>
            <w:top w:w="0" w:type="dxa"/>
            <w:left w:w="108" w:type="dxa"/>
            <w:bottom w:w="0" w:type="dxa"/>
            <w:right w:w="108" w:type="dxa"/>
          </w:tblCellMar>
        </w:tblPrEx>
        <w:trPr>
          <w:trHeight w:val="312" w:hRule="atLeast"/>
        </w:trPr>
        <w:tc>
          <w:tcPr>
            <w:tcW w:w="2261" w:type="dxa"/>
            <w:tcBorders>
              <w:top w:val="nil"/>
              <w:left w:val="single" w:color="000000" w:sz="12" w:space="0"/>
              <w:bottom w:val="single" w:color="000000" w:sz="8" w:space="0"/>
              <w:right w:val="single" w:color="000000" w:sz="8" w:space="0"/>
            </w:tcBorders>
            <w:noWrap/>
            <w:vAlign w:val="center"/>
          </w:tcPr>
          <w:p>
            <w:pPr>
              <w:widowControl/>
              <w:spacing w:line="240" w:lineRule="auto"/>
              <w:jc w:val="center"/>
              <w:rPr>
                <w:rFonts w:hint="eastAsia" w:asciiTheme="minorEastAsia" w:hAnsiTheme="minorEastAsia" w:eastAsiaTheme="minorEastAsia" w:cstheme="minorEastAsia"/>
                <w:b w:val="0"/>
                <w:bCs w:val="0"/>
                <w:color w:val="000000"/>
                <w:kern w:val="0"/>
                <w:sz w:val="18"/>
                <w:szCs w:val="18"/>
                <w:highlight w:val="none"/>
                <w:lang w:val="en-US" w:eastAsia="zh-CN"/>
              </w:rPr>
            </w:pPr>
            <w:r>
              <w:rPr>
                <w:rFonts w:hint="eastAsia" w:asciiTheme="minorEastAsia" w:hAnsiTheme="minorEastAsia" w:eastAsiaTheme="minorEastAsia" w:cstheme="minorEastAsia"/>
                <w:b w:val="0"/>
                <w:bCs w:val="0"/>
                <w:color w:val="000000"/>
                <w:kern w:val="0"/>
                <w:sz w:val="18"/>
                <w:szCs w:val="18"/>
                <w:highlight w:val="none"/>
                <w:lang w:val="en-US" w:eastAsia="zh-CN"/>
              </w:rPr>
              <w:t>公车运行维护费</w:t>
            </w:r>
          </w:p>
        </w:tc>
        <w:tc>
          <w:tcPr>
            <w:tcW w:w="920"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97.00</w:t>
            </w:r>
          </w:p>
        </w:tc>
        <w:tc>
          <w:tcPr>
            <w:tcW w:w="921"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97.03</w:t>
            </w:r>
          </w:p>
        </w:tc>
        <w:tc>
          <w:tcPr>
            <w:tcW w:w="780"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765"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1234"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0.03</w:t>
            </w:r>
          </w:p>
        </w:tc>
        <w:tc>
          <w:tcPr>
            <w:tcW w:w="1042" w:type="dxa"/>
            <w:tcBorders>
              <w:top w:val="nil"/>
              <w:left w:val="nil"/>
              <w:bottom w:val="single" w:color="000000" w:sz="8" w:space="0"/>
              <w:right w:val="single" w:color="000000" w:sz="12"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955" w:type="dxa"/>
            <w:tcBorders>
              <w:top w:val="nil"/>
              <w:left w:val="nil"/>
              <w:bottom w:val="single" w:color="000000" w:sz="8" w:space="0"/>
              <w:right w:val="single" w:color="000000" w:sz="12"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bidi="ar-SA"/>
              </w:rPr>
            </w:pPr>
            <w:r>
              <w:rPr>
                <w:rFonts w:hint="default" w:ascii="Times New Roman" w:hAnsi="Times New Roman" w:eastAsia="仿宋_GB2312" w:cs="Times New Roman"/>
                <w:b w:val="0"/>
                <w:bCs w:val="0"/>
                <w:color w:val="000000"/>
                <w:kern w:val="0"/>
                <w:sz w:val="20"/>
                <w:szCs w:val="20"/>
                <w:highlight w:val="none"/>
                <w:lang w:val="en-US" w:eastAsia="zh-CN"/>
              </w:rPr>
              <w:t>-</w:t>
            </w:r>
          </w:p>
        </w:tc>
      </w:tr>
      <w:tr>
        <w:tblPrEx>
          <w:tblCellMar>
            <w:top w:w="0" w:type="dxa"/>
            <w:left w:w="108" w:type="dxa"/>
            <w:bottom w:w="0" w:type="dxa"/>
            <w:right w:w="108" w:type="dxa"/>
          </w:tblCellMar>
        </w:tblPrEx>
        <w:trPr>
          <w:trHeight w:val="481" w:hRule="atLeast"/>
        </w:trPr>
        <w:tc>
          <w:tcPr>
            <w:tcW w:w="2261" w:type="dxa"/>
            <w:tcBorders>
              <w:top w:val="nil"/>
              <w:left w:val="single" w:color="000000" w:sz="12" w:space="0"/>
              <w:bottom w:val="single" w:color="000000" w:sz="8" w:space="0"/>
              <w:right w:val="single" w:color="000000" w:sz="8" w:space="0"/>
            </w:tcBorders>
            <w:noWrap w:val="0"/>
            <w:vAlign w:val="center"/>
          </w:tcPr>
          <w:p>
            <w:pPr>
              <w:widowControl/>
              <w:spacing w:line="240" w:lineRule="auto"/>
              <w:jc w:val="center"/>
              <w:rPr>
                <w:rFonts w:hint="eastAsia" w:asciiTheme="minorEastAsia" w:hAnsiTheme="minorEastAsia" w:eastAsiaTheme="minorEastAsia" w:cstheme="minorEastAsia"/>
                <w:b w:val="0"/>
                <w:bCs w:val="0"/>
                <w:color w:val="000000"/>
                <w:kern w:val="0"/>
                <w:sz w:val="18"/>
                <w:szCs w:val="18"/>
                <w:highlight w:val="none"/>
                <w:lang w:val="en-US" w:eastAsia="zh-CN"/>
              </w:rPr>
            </w:pPr>
            <w:r>
              <w:rPr>
                <w:rFonts w:hint="eastAsia" w:asciiTheme="minorEastAsia" w:hAnsiTheme="minorEastAsia" w:eastAsiaTheme="minorEastAsia" w:cstheme="minorEastAsia"/>
                <w:b w:val="0"/>
                <w:bCs w:val="0"/>
                <w:color w:val="000000"/>
                <w:kern w:val="0"/>
                <w:sz w:val="18"/>
                <w:szCs w:val="18"/>
                <w:highlight w:val="none"/>
                <w:lang w:val="en-US" w:eastAsia="zh-CN"/>
              </w:rPr>
              <w:t>因公出国（境）费用</w:t>
            </w:r>
          </w:p>
        </w:tc>
        <w:tc>
          <w:tcPr>
            <w:tcW w:w="920"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p>
        </w:tc>
        <w:tc>
          <w:tcPr>
            <w:tcW w:w="921"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5.99</w:t>
            </w:r>
          </w:p>
        </w:tc>
        <w:tc>
          <w:tcPr>
            <w:tcW w:w="780"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765"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1234" w:type="dxa"/>
            <w:tcBorders>
              <w:top w:val="nil"/>
              <w:left w:val="nil"/>
              <w:bottom w:val="single" w:color="000000" w:sz="8"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5.99</w:t>
            </w:r>
          </w:p>
        </w:tc>
        <w:tc>
          <w:tcPr>
            <w:tcW w:w="1042" w:type="dxa"/>
            <w:tcBorders>
              <w:top w:val="nil"/>
              <w:left w:val="nil"/>
              <w:bottom w:val="single" w:color="000000" w:sz="8" w:space="0"/>
              <w:right w:val="single" w:color="000000" w:sz="12"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955" w:type="dxa"/>
            <w:tcBorders>
              <w:top w:val="nil"/>
              <w:left w:val="nil"/>
              <w:bottom w:val="single" w:color="000000" w:sz="8" w:space="0"/>
              <w:right w:val="single" w:color="000000" w:sz="12"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bidi="ar-SA"/>
              </w:rPr>
            </w:pPr>
            <w:r>
              <w:rPr>
                <w:rFonts w:hint="default" w:ascii="Times New Roman" w:hAnsi="Times New Roman" w:eastAsia="仿宋_GB2312" w:cs="Times New Roman"/>
                <w:b w:val="0"/>
                <w:bCs w:val="0"/>
                <w:color w:val="000000"/>
                <w:kern w:val="0"/>
                <w:sz w:val="20"/>
                <w:szCs w:val="20"/>
                <w:highlight w:val="none"/>
                <w:lang w:val="en-US" w:eastAsia="zh-CN"/>
              </w:rPr>
              <w:t>-</w:t>
            </w:r>
          </w:p>
        </w:tc>
      </w:tr>
      <w:tr>
        <w:tblPrEx>
          <w:tblCellMar>
            <w:top w:w="0" w:type="dxa"/>
            <w:left w:w="108" w:type="dxa"/>
            <w:bottom w:w="0" w:type="dxa"/>
            <w:right w:w="108" w:type="dxa"/>
          </w:tblCellMar>
        </w:tblPrEx>
        <w:trPr>
          <w:trHeight w:val="364" w:hRule="atLeast"/>
        </w:trPr>
        <w:tc>
          <w:tcPr>
            <w:tcW w:w="2261" w:type="dxa"/>
            <w:tcBorders>
              <w:top w:val="nil"/>
              <w:left w:val="single" w:color="000000" w:sz="12" w:space="0"/>
              <w:bottom w:val="single" w:color="000000" w:sz="12" w:space="0"/>
              <w:right w:val="single" w:color="000000" w:sz="8" w:space="0"/>
            </w:tcBorders>
            <w:noWrap w:val="0"/>
            <w:vAlign w:val="center"/>
          </w:tcPr>
          <w:p>
            <w:pPr>
              <w:widowControl/>
              <w:spacing w:line="240" w:lineRule="auto"/>
              <w:jc w:val="center"/>
              <w:rPr>
                <w:rFonts w:hint="default" w:eastAsia="仿宋_GB2312"/>
                <w:b/>
                <w:bCs/>
                <w:color w:val="000000"/>
                <w:kern w:val="0"/>
                <w:sz w:val="18"/>
                <w:szCs w:val="18"/>
                <w:highlight w:val="none"/>
                <w:lang w:val="en-US" w:eastAsia="zh-CN"/>
              </w:rPr>
            </w:pPr>
            <w:r>
              <w:rPr>
                <w:rFonts w:hint="default" w:eastAsia="仿宋_GB2312"/>
                <w:b/>
                <w:bCs/>
                <w:color w:val="000000"/>
                <w:kern w:val="0"/>
                <w:sz w:val="18"/>
                <w:szCs w:val="18"/>
                <w:highlight w:val="none"/>
                <w:lang w:val="en-US" w:eastAsia="zh-CN"/>
              </w:rPr>
              <w:t>合  计</w:t>
            </w:r>
          </w:p>
        </w:tc>
        <w:tc>
          <w:tcPr>
            <w:tcW w:w="920" w:type="dxa"/>
            <w:tcBorders>
              <w:top w:val="nil"/>
              <w:left w:val="nil"/>
              <w:bottom w:val="single" w:color="000000" w:sz="12"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153.6</w:t>
            </w:r>
            <w:r>
              <w:rPr>
                <w:rFonts w:hint="eastAsia" w:ascii="Times New Roman" w:hAnsi="Times New Roman" w:eastAsia="仿宋_GB2312" w:cs="Times New Roman"/>
                <w:b w:val="0"/>
                <w:bCs w:val="0"/>
                <w:color w:val="000000"/>
                <w:kern w:val="0"/>
                <w:sz w:val="20"/>
                <w:szCs w:val="20"/>
                <w:highlight w:val="none"/>
                <w:lang w:val="en-US" w:eastAsia="zh-CN"/>
              </w:rPr>
              <w:t>0</w:t>
            </w:r>
          </w:p>
        </w:tc>
        <w:tc>
          <w:tcPr>
            <w:tcW w:w="921" w:type="dxa"/>
            <w:tcBorders>
              <w:top w:val="nil"/>
              <w:left w:val="nil"/>
              <w:bottom w:val="single" w:color="000000" w:sz="12"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183.67</w:t>
            </w:r>
          </w:p>
        </w:tc>
        <w:tc>
          <w:tcPr>
            <w:tcW w:w="780" w:type="dxa"/>
            <w:tcBorders>
              <w:top w:val="nil"/>
              <w:left w:val="nil"/>
              <w:bottom w:val="single" w:color="000000" w:sz="12"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765" w:type="dxa"/>
            <w:tcBorders>
              <w:top w:val="nil"/>
              <w:left w:val="nil"/>
              <w:bottom w:val="single" w:color="000000" w:sz="12"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1234" w:type="dxa"/>
            <w:tcBorders>
              <w:top w:val="nil"/>
              <w:left w:val="nil"/>
              <w:bottom w:val="single" w:color="000000" w:sz="12" w:space="0"/>
              <w:right w:val="single" w:color="000000" w:sz="8"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30.07</w:t>
            </w:r>
          </w:p>
        </w:tc>
        <w:tc>
          <w:tcPr>
            <w:tcW w:w="1042" w:type="dxa"/>
            <w:tcBorders>
              <w:top w:val="nil"/>
              <w:left w:val="nil"/>
              <w:bottom w:val="single" w:color="000000" w:sz="12" w:space="0"/>
              <w:right w:val="single" w:color="000000" w:sz="12"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rPr>
            </w:pPr>
            <w:r>
              <w:rPr>
                <w:rFonts w:hint="default" w:ascii="Times New Roman" w:hAnsi="Times New Roman" w:eastAsia="仿宋_GB2312" w:cs="Times New Roman"/>
                <w:b w:val="0"/>
                <w:bCs w:val="0"/>
                <w:color w:val="000000"/>
                <w:kern w:val="0"/>
                <w:sz w:val="20"/>
                <w:szCs w:val="20"/>
                <w:highlight w:val="none"/>
                <w:lang w:val="en-US" w:eastAsia="zh-CN"/>
              </w:rPr>
              <w:t>-</w:t>
            </w:r>
          </w:p>
        </w:tc>
        <w:tc>
          <w:tcPr>
            <w:tcW w:w="955" w:type="dxa"/>
            <w:tcBorders>
              <w:top w:val="nil"/>
              <w:left w:val="nil"/>
              <w:bottom w:val="single" w:color="000000" w:sz="12" w:space="0"/>
              <w:right w:val="single" w:color="000000" w:sz="12" w:space="0"/>
            </w:tcBorders>
            <w:noWrap w:val="0"/>
            <w:vAlign w:val="center"/>
          </w:tcPr>
          <w:p>
            <w:pPr>
              <w:widowControl/>
              <w:spacing w:line="240" w:lineRule="auto"/>
              <w:jc w:val="center"/>
              <w:rPr>
                <w:rFonts w:hint="default" w:ascii="Times New Roman" w:hAnsi="Times New Roman" w:eastAsia="仿宋_GB2312" w:cs="Times New Roman"/>
                <w:b w:val="0"/>
                <w:bCs w:val="0"/>
                <w:color w:val="000000"/>
                <w:kern w:val="0"/>
                <w:sz w:val="20"/>
                <w:szCs w:val="20"/>
                <w:highlight w:val="none"/>
                <w:lang w:val="en-US" w:eastAsia="zh-CN" w:bidi="ar-SA"/>
              </w:rPr>
            </w:pPr>
            <w:r>
              <w:rPr>
                <w:rFonts w:hint="default" w:ascii="Times New Roman" w:hAnsi="Times New Roman" w:eastAsia="仿宋_GB2312" w:cs="Times New Roman"/>
                <w:b w:val="0"/>
                <w:bCs w:val="0"/>
                <w:color w:val="000000"/>
                <w:kern w:val="0"/>
                <w:sz w:val="20"/>
                <w:szCs w:val="20"/>
                <w:highlight w:val="none"/>
                <w:lang w:val="en-US" w:eastAsia="zh-CN"/>
              </w:rPr>
              <w:t>-</w:t>
            </w:r>
          </w:p>
        </w:tc>
      </w:tr>
    </w:tbl>
    <w:p>
      <w:pPr>
        <w:widowControl/>
        <w:spacing w:line="240" w:lineRule="auto"/>
        <w:jc w:val="center"/>
        <w:rPr>
          <w:rFonts w:eastAsia="仿宋_GB2312"/>
          <w:kern w:val="0"/>
          <w:sz w:val="18"/>
          <w:szCs w:val="18"/>
        </w:rPr>
      </w:pPr>
      <w:r>
        <w:rPr>
          <w:rFonts w:hint="default" w:eastAsia="仿宋_GB2312"/>
          <w:b/>
          <w:bCs/>
          <w:color w:val="000000"/>
          <w:kern w:val="0"/>
          <w:sz w:val="18"/>
          <w:szCs w:val="18"/>
          <w:highlight w:val="none"/>
          <w:lang w:val="en-US" w:eastAsia="zh-CN"/>
        </w:rPr>
        <w:t>                                                                                                                                         </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 xml:space="preserve">表上反映情况说明: </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 xml:space="preserve">因我局是涉改新组建单位，2019年预算批复数系原市工商局、原市质监局、原市食药监局三单位及其二级单位预算批复数之和，且我局本年新增价格监督和知识产权管理等职能，故三公经费无法与上年数据对比。  </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1.公务接待费：2019年决算数比原三单位预算批复数之和减少4.22万元。决算数小于年初预算数的主要原因是从严接待审批，坚持厉行节约。</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2.公务用车购置及运行维护费：2019年决算数比原三单位预算批复数之和增加28.30万元，决算数大于年初预算数的主要原因是新组建市市场监管局更新两台公务车辆。</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3.因公出国（境）费用：2019年决算数5.99万元，决算数大于年初预算数的主要原因是支付周尚悟、青光政2人赴日本考察制药企业产生的差旅费用，因年初未安排预算，经报请省人民政府批准出国（境）。</w:t>
      </w:r>
    </w:p>
    <w:p>
      <w:pPr>
        <w:widowControl/>
        <w:spacing w:line="240" w:lineRule="auto"/>
        <w:ind w:firstLine="640" w:firstLineChars="200"/>
        <w:jc w:val="left"/>
        <w:rPr>
          <w:rFonts w:ascii="黑体" w:hAnsi="黑体" w:eastAsia="黑体"/>
          <w:kern w:val="0"/>
          <w:sz w:val="32"/>
          <w:szCs w:val="32"/>
        </w:rPr>
      </w:pPr>
      <w:r>
        <w:rPr>
          <w:rFonts w:ascii="黑体" w:hAnsi="黑体" w:eastAsia="黑体"/>
          <w:kern w:val="0"/>
          <w:sz w:val="32"/>
          <w:szCs w:val="32"/>
        </w:rPr>
        <w:t>三、部门绩效目标</w:t>
      </w:r>
    </w:p>
    <w:p>
      <w:pPr>
        <w:widowControl/>
        <w:spacing w:line="240" w:lineRule="auto"/>
        <w:ind w:firstLine="480"/>
        <w:jc w:val="left"/>
        <w:rPr>
          <w:rFonts w:hint="eastAsia" w:ascii="楷体_GB2312" w:eastAsia="楷体_GB2312"/>
          <w:kern w:val="0"/>
          <w:sz w:val="32"/>
          <w:szCs w:val="32"/>
        </w:rPr>
      </w:pPr>
      <w:r>
        <w:rPr>
          <w:rFonts w:hint="eastAsia" w:ascii="楷体_GB2312" w:eastAsia="楷体_GB2312"/>
          <w:kern w:val="0"/>
          <w:sz w:val="32"/>
          <w:szCs w:val="32"/>
        </w:rPr>
        <w:t>（一）部门绩效总目标</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通过对本部门整体支出绩效自评，了解2019年度财政资金预算支出的绩效状况，为今后预算安排提供决策支持。进一步增强本部门支出管理的责任，优化支出结构，提升预算管理水平，保障更好地履行市场监管职责，提高公务服务质量和财政资金使用效益，促进地方经济健康发展。</w:t>
      </w:r>
    </w:p>
    <w:p>
      <w:pPr>
        <w:widowControl/>
        <w:spacing w:line="240" w:lineRule="auto"/>
        <w:ind w:firstLine="480"/>
        <w:jc w:val="left"/>
        <w:rPr>
          <w:rFonts w:hint="eastAsia" w:ascii="楷体_GB2312" w:eastAsia="楷体_GB2312"/>
          <w:kern w:val="0"/>
          <w:sz w:val="32"/>
          <w:szCs w:val="32"/>
        </w:rPr>
      </w:pPr>
      <w:r>
        <w:rPr>
          <w:rFonts w:hint="eastAsia" w:ascii="楷体_GB2312" w:eastAsia="楷体_GB2312"/>
          <w:kern w:val="0"/>
          <w:sz w:val="32"/>
          <w:szCs w:val="32"/>
        </w:rPr>
        <w:t>（二）2019年部门绩效目标</w:t>
      </w:r>
    </w:p>
    <w:p>
      <w:pPr>
        <w:widowControl/>
        <w:spacing w:line="240" w:lineRule="auto"/>
        <w:ind w:firstLine="640" w:firstLineChars="200"/>
        <w:jc w:val="left"/>
        <w:rPr>
          <w:rFonts w:eastAsia="仿宋_GB2312"/>
          <w:kern w:val="0"/>
          <w:sz w:val="32"/>
          <w:szCs w:val="32"/>
        </w:rPr>
      </w:pPr>
      <w:r>
        <w:rPr>
          <w:rFonts w:eastAsia="仿宋_GB2312"/>
          <w:kern w:val="0"/>
          <w:sz w:val="32"/>
          <w:szCs w:val="32"/>
        </w:rPr>
        <w:t>1.围绕省局、市政府的工作部署，以《</w:t>
      </w:r>
      <w:r>
        <w:rPr>
          <w:rFonts w:hint="eastAsia" w:eastAsia="仿宋_GB2312"/>
          <w:kern w:val="0"/>
          <w:sz w:val="32"/>
          <w:szCs w:val="32"/>
          <w:lang w:eastAsia="zh-CN"/>
        </w:rPr>
        <w:t>中华人民共和国</w:t>
      </w:r>
      <w:r>
        <w:rPr>
          <w:rFonts w:eastAsia="仿宋_GB2312"/>
          <w:kern w:val="0"/>
          <w:sz w:val="32"/>
          <w:szCs w:val="32"/>
        </w:rPr>
        <w:t>食品安全法》</w:t>
      </w:r>
      <w:r>
        <w:rPr>
          <w:rFonts w:hint="eastAsia" w:eastAsia="仿宋_GB2312"/>
          <w:kern w:val="0"/>
          <w:sz w:val="32"/>
          <w:szCs w:val="32"/>
        </w:rPr>
        <w:t>、</w:t>
      </w:r>
      <w:r>
        <w:rPr>
          <w:rFonts w:eastAsia="仿宋_GB2312"/>
          <w:kern w:val="0"/>
          <w:sz w:val="32"/>
          <w:szCs w:val="32"/>
        </w:rPr>
        <w:t>《</w:t>
      </w:r>
      <w:r>
        <w:rPr>
          <w:rFonts w:hint="eastAsia" w:eastAsia="仿宋_GB2312"/>
          <w:kern w:val="0"/>
          <w:sz w:val="32"/>
          <w:szCs w:val="32"/>
          <w:lang w:eastAsia="zh-CN"/>
        </w:rPr>
        <w:t>中华人民共和国</w:t>
      </w:r>
      <w:r>
        <w:rPr>
          <w:rFonts w:eastAsia="仿宋_GB2312"/>
          <w:kern w:val="0"/>
          <w:sz w:val="32"/>
          <w:szCs w:val="32"/>
        </w:rPr>
        <w:t>药品管理法》为抓手，严格按照</w:t>
      </w:r>
      <w:r>
        <w:rPr>
          <w:rFonts w:hint="eastAsia" w:eastAsia="仿宋_GB2312"/>
          <w:kern w:val="0"/>
          <w:sz w:val="32"/>
          <w:szCs w:val="32"/>
          <w:lang w:eastAsia="zh-CN"/>
        </w:rPr>
        <w:t>“</w:t>
      </w:r>
      <w:r>
        <w:rPr>
          <w:rFonts w:eastAsia="仿宋_GB2312"/>
          <w:kern w:val="0"/>
          <w:sz w:val="32"/>
          <w:szCs w:val="32"/>
        </w:rPr>
        <w:t>四个最严</w:t>
      </w:r>
      <w:r>
        <w:rPr>
          <w:rFonts w:hint="eastAsia" w:eastAsia="仿宋_GB2312"/>
          <w:kern w:val="0"/>
          <w:sz w:val="32"/>
          <w:szCs w:val="32"/>
          <w:lang w:eastAsia="zh-CN"/>
        </w:rPr>
        <w:t>”</w:t>
      </w:r>
      <w:r>
        <w:rPr>
          <w:rFonts w:eastAsia="仿宋_GB2312"/>
          <w:kern w:val="0"/>
          <w:sz w:val="32"/>
          <w:szCs w:val="32"/>
        </w:rPr>
        <w:t>的总要求，坚持问题导向和风险导向，进一步压实责任、夯实基层、健全机制，不断创新手段、深化专项整治、开展教育培训、强化督导考核，确保全年不出现重大食品药品安全事故。</w:t>
      </w:r>
    </w:p>
    <w:p>
      <w:pPr>
        <w:widowControl/>
        <w:spacing w:line="240" w:lineRule="auto"/>
        <w:ind w:firstLine="640" w:firstLineChars="200"/>
        <w:jc w:val="left"/>
        <w:rPr>
          <w:rFonts w:eastAsia="仿宋_GB2312"/>
          <w:kern w:val="0"/>
          <w:sz w:val="32"/>
          <w:szCs w:val="32"/>
        </w:rPr>
      </w:pPr>
      <w:r>
        <w:rPr>
          <w:rFonts w:eastAsia="仿宋_GB2312"/>
          <w:kern w:val="0"/>
          <w:sz w:val="32"/>
          <w:szCs w:val="32"/>
        </w:rPr>
        <w:t>2.组织全市范围内食品药品专项抽检行动，防范区域性、行业性食品药品安全事故发生。</w:t>
      </w:r>
    </w:p>
    <w:p>
      <w:pPr>
        <w:widowControl/>
        <w:spacing w:line="240" w:lineRule="auto"/>
        <w:ind w:firstLine="640" w:firstLineChars="200"/>
        <w:jc w:val="left"/>
        <w:rPr>
          <w:rFonts w:eastAsia="仿宋_GB2312"/>
          <w:kern w:val="0"/>
          <w:sz w:val="32"/>
          <w:szCs w:val="32"/>
        </w:rPr>
      </w:pPr>
      <w:r>
        <w:rPr>
          <w:rFonts w:eastAsia="仿宋_GB2312"/>
          <w:kern w:val="0"/>
          <w:sz w:val="32"/>
          <w:szCs w:val="32"/>
        </w:rPr>
        <w:t>3.各级各单位完成阶段性创建国家食品安全示范城市的相关工作，重点为五大体系、十大工程。</w:t>
      </w:r>
    </w:p>
    <w:p>
      <w:pPr>
        <w:widowControl/>
        <w:spacing w:line="240" w:lineRule="auto"/>
        <w:ind w:firstLine="640" w:firstLineChars="200"/>
        <w:jc w:val="left"/>
        <w:rPr>
          <w:rFonts w:eastAsia="仿宋_GB2312"/>
          <w:kern w:val="0"/>
          <w:sz w:val="32"/>
          <w:szCs w:val="32"/>
        </w:rPr>
      </w:pPr>
      <w:r>
        <w:rPr>
          <w:rFonts w:eastAsia="仿宋_GB2312"/>
          <w:kern w:val="0"/>
          <w:sz w:val="32"/>
          <w:szCs w:val="32"/>
        </w:rPr>
        <w:t>4.积极服务五个常德建设。推进质量提升工程，推进名牌发展战略，推进标准引领战略，推进产业转型升级，推进企业帮扶服务。</w:t>
      </w:r>
    </w:p>
    <w:p>
      <w:pPr>
        <w:widowControl/>
        <w:spacing w:line="240" w:lineRule="auto"/>
        <w:ind w:firstLine="640" w:firstLineChars="200"/>
        <w:jc w:val="left"/>
        <w:rPr>
          <w:rFonts w:eastAsia="仿宋_GB2312"/>
          <w:kern w:val="0"/>
          <w:sz w:val="32"/>
          <w:szCs w:val="32"/>
        </w:rPr>
      </w:pPr>
      <w:r>
        <w:rPr>
          <w:rFonts w:eastAsia="仿宋_GB2312"/>
          <w:kern w:val="0"/>
          <w:sz w:val="32"/>
          <w:szCs w:val="32"/>
        </w:rPr>
        <w:t>5.</w:t>
      </w:r>
      <w:r>
        <w:rPr>
          <w:rFonts w:hint="eastAsia" w:eastAsia="仿宋_GB2312"/>
          <w:kern w:val="0"/>
          <w:sz w:val="32"/>
          <w:szCs w:val="32"/>
        </w:rPr>
        <w:t>强化质量安全监管，坚持打假治劣，积极开展重点工业产品、日用消费品、农资、特种设备等涉及民生产品的质量专项整治行动，切实维护群众利益。</w:t>
      </w:r>
    </w:p>
    <w:p>
      <w:pPr>
        <w:widowControl/>
        <w:spacing w:line="240" w:lineRule="auto"/>
        <w:ind w:firstLine="640" w:firstLineChars="200"/>
        <w:jc w:val="left"/>
        <w:rPr>
          <w:rFonts w:eastAsia="仿宋_GB2312"/>
          <w:kern w:val="0"/>
          <w:sz w:val="32"/>
          <w:szCs w:val="32"/>
        </w:rPr>
      </w:pPr>
      <w:r>
        <w:rPr>
          <w:rFonts w:eastAsia="仿宋_GB2312"/>
          <w:kern w:val="0"/>
          <w:sz w:val="32"/>
          <w:szCs w:val="32"/>
        </w:rPr>
        <w:t>6.强化服务举措提升工作效能，以更加优良的作风为人民群众提供更有质量、更有效率的服务。 </w:t>
      </w:r>
    </w:p>
    <w:p>
      <w:pPr>
        <w:widowControl/>
        <w:spacing w:line="240" w:lineRule="auto"/>
        <w:ind w:firstLine="640" w:firstLineChars="200"/>
        <w:jc w:val="left"/>
        <w:rPr>
          <w:rFonts w:eastAsia="仿宋_GB2312"/>
          <w:kern w:val="0"/>
          <w:sz w:val="32"/>
          <w:szCs w:val="32"/>
        </w:rPr>
      </w:pPr>
      <w:r>
        <w:rPr>
          <w:rFonts w:eastAsia="仿宋_GB2312"/>
          <w:kern w:val="0"/>
          <w:sz w:val="32"/>
          <w:szCs w:val="32"/>
        </w:rPr>
        <w:t>7.在全市范围内继续深化商事制度改革，全面实施</w:t>
      </w:r>
      <w:r>
        <w:rPr>
          <w:rFonts w:hint="eastAsia" w:eastAsia="仿宋_GB2312"/>
          <w:kern w:val="0"/>
          <w:sz w:val="32"/>
          <w:szCs w:val="32"/>
          <w:lang w:eastAsia="zh-CN"/>
        </w:rPr>
        <w:t>“</w:t>
      </w:r>
      <w:r>
        <w:rPr>
          <w:rFonts w:eastAsia="仿宋_GB2312"/>
          <w:kern w:val="0"/>
          <w:sz w:val="32"/>
          <w:szCs w:val="32"/>
        </w:rPr>
        <w:t>证照分离</w:t>
      </w:r>
      <w:r>
        <w:rPr>
          <w:rFonts w:hint="eastAsia" w:eastAsia="仿宋_GB2312"/>
          <w:kern w:val="0"/>
          <w:sz w:val="32"/>
          <w:szCs w:val="32"/>
          <w:lang w:eastAsia="zh-CN"/>
        </w:rPr>
        <w:t>”</w:t>
      </w:r>
      <w:r>
        <w:rPr>
          <w:rFonts w:eastAsia="仿宋_GB2312"/>
          <w:kern w:val="0"/>
          <w:sz w:val="32"/>
          <w:szCs w:val="32"/>
        </w:rPr>
        <w:t>，进一步提高企业登记效率，降低企业成本；率先开展规范经营范围登记试点工作。推进个转企工作；依法牵头开展市场主体双随机监督检查和年报公示；建立企业经营异常名录和严重违法企业名单管理制度；指导查处无照经营。</w:t>
      </w:r>
    </w:p>
    <w:p>
      <w:pPr>
        <w:widowControl/>
        <w:spacing w:line="240" w:lineRule="auto"/>
        <w:ind w:firstLine="640" w:firstLineChars="200"/>
        <w:jc w:val="left"/>
        <w:rPr>
          <w:rFonts w:hint="default" w:eastAsia="仿宋_GB2312"/>
          <w:kern w:val="0"/>
          <w:sz w:val="32"/>
          <w:szCs w:val="32"/>
          <w:lang w:val="en-US" w:eastAsia="zh-CN"/>
        </w:rPr>
      </w:pPr>
      <w:r>
        <w:rPr>
          <w:rFonts w:eastAsia="仿宋_GB2312"/>
          <w:kern w:val="0"/>
          <w:sz w:val="32"/>
          <w:szCs w:val="32"/>
        </w:rPr>
        <w:t>8.加强12315维权服务站点建设，争取站点建设全覆盖，积极开展12315</w:t>
      </w:r>
      <w:r>
        <w:rPr>
          <w:rFonts w:hint="eastAsia" w:eastAsia="仿宋_GB2312"/>
          <w:kern w:val="0"/>
          <w:sz w:val="32"/>
          <w:szCs w:val="32"/>
          <w:lang w:eastAsia="zh-CN"/>
        </w:rPr>
        <w:t>“</w:t>
      </w:r>
      <w:r>
        <w:rPr>
          <w:rFonts w:eastAsia="仿宋_GB2312"/>
          <w:kern w:val="0"/>
          <w:sz w:val="32"/>
          <w:szCs w:val="32"/>
        </w:rPr>
        <w:t>五进</w:t>
      </w:r>
      <w:r>
        <w:rPr>
          <w:rFonts w:hint="eastAsia" w:eastAsia="仿宋_GB2312"/>
          <w:kern w:val="0"/>
          <w:sz w:val="32"/>
          <w:szCs w:val="32"/>
          <w:lang w:eastAsia="zh-CN"/>
        </w:rPr>
        <w:t>”</w:t>
      </w:r>
      <w:r>
        <w:rPr>
          <w:rFonts w:eastAsia="仿宋_GB2312"/>
          <w:kern w:val="0"/>
          <w:sz w:val="32"/>
          <w:szCs w:val="32"/>
        </w:rPr>
        <w:t>活动；12315维权知识宣传推广，提高消费者满意度。</w:t>
      </w:r>
    </w:p>
    <w:p>
      <w:pPr>
        <w:widowControl/>
        <w:spacing w:line="240" w:lineRule="auto"/>
        <w:ind w:firstLine="640" w:firstLineChars="200"/>
        <w:jc w:val="left"/>
        <w:rPr>
          <w:rFonts w:eastAsia="仿宋_GB2312"/>
          <w:kern w:val="0"/>
          <w:sz w:val="32"/>
          <w:szCs w:val="32"/>
        </w:rPr>
      </w:pPr>
      <w:r>
        <w:rPr>
          <w:rFonts w:eastAsia="仿宋_GB2312"/>
          <w:kern w:val="0"/>
          <w:sz w:val="32"/>
          <w:szCs w:val="32"/>
        </w:rPr>
        <w:t>9.结合2019年消费年主题，办好</w:t>
      </w:r>
      <w:r>
        <w:rPr>
          <w:rFonts w:hint="eastAsia" w:eastAsia="仿宋_GB2312"/>
          <w:kern w:val="0"/>
          <w:sz w:val="32"/>
          <w:szCs w:val="32"/>
          <w:lang w:eastAsia="zh-CN"/>
        </w:rPr>
        <w:t>“</w:t>
      </w:r>
      <w:r>
        <w:rPr>
          <w:rFonts w:eastAsia="仿宋_GB2312"/>
          <w:kern w:val="0"/>
          <w:sz w:val="32"/>
          <w:szCs w:val="32"/>
        </w:rPr>
        <w:t>3</w:t>
      </w:r>
      <w:r>
        <w:rPr>
          <w:rFonts w:hint="eastAsia" w:eastAsia="仿宋_GB2312"/>
          <w:kern w:val="0"/>
          <w:sz w:val="32"/>
          <w:szCs w:val="32"/>
          <w:lang w:val="en-US" w:eastAsia="zh-CN"/>
        </w:rPr>
        <w:t>·</w:t>
      </w:r>
      <w:bookmarkStart w:id="0" w:name="_GoBack"/>
      <w:bookmarkEnd w:id="0"/>
      <w:r>
        <w:rPr>
          <w:rFonts w:eastAsia="仿宋_GB2312"/>
          <w:kern w:val="0"/>
          <w:sz w:val="32"/>
          <w:szCs w:val="32"/>
        </w:rPr>
        <w:t>15</w:t>
      </w:r>
      <w:r>
        <w:rPr>
          <w:rFonts w:hint="eastAsia" w:eastAsia="仿宋_GB2312"/>
          <w:kern w:val="0"/>
          <w:sz w:val="32"/>
          <w:szCs w:val="32"/>
          <w:lang w:eastAsia="zh-CN"/>
        </w:rPr>
        <w:t>”</w:t>
      </w:r>
      <w:r>
        <w:rPr>
          <w:rFonts w:eastAsia="仿宋_GB2312"/>
          <w:kern w:val="0"/>
          <w:sz w:val="32"/>
          <w:szCs w:val="32"/>
        </w:rPr>
        <w:t>国际消费者权益日系列宣传活动，消费教育</w:t>
      </w:r>
      <w:r>
        <w:rPr>
          <w:rFonts w:hint="eastAsia" w:eastAsia="仿宋_GB2312"/>
          <w:kern w:val="0"/>
          <w:sz w:val="32"/>
          <w:szCs w:val="32"/>
          <w:lang w:eastAsia="zh-CN"/>
        </w:rPr>
        <w:t>“</w:t>
      </w:r>
      <w:r>
        <w:rPr>
          <w:rFonts w:eastAsia="仿宋_GB2312"/>
          <w:kern w:val="0"/>
          <w:sz w:val="32"/>
          <w:szCs w:val="32"/>
        </w:rPr>
        <w:t>五进</w:t>
      </w:r>
      <w:r>
        <w:rPr>
          <w:rFonts w:hint="eastAsia" w:eastAsia="仿宋_GB2312"/>
          <w:kern w:val="0"/>
          <w:sz w:val="32"/>
          <w:szCs w:val="32"/>
          <w:lang w:eastAsia="zh-CN"/>
        </w:rPr>
        <w:t>”</w:t>
      </w:r>
      <w:r>
        <w:rPr>
          <w:rFonts w:eastAsia="仿宋_GB2312"/>
          <w:kern w:val="0"/>
          <w:sz w:val="32"/>
          <w:szCs w:val="32"/>
        </w:rPr>
        <w:t>活动；做好志愿者服务队的维护、培训等工作；通过处理消费者投诉，保障消费者的合法权益，维护社会和谐稳定。</w:t>
      </w:r>
    </w:p>
    <w:p>
      <w:pPr>
        <w:widowControl/>
        <w:spacing w:line="240" w:lineRule="auto"/>
        <w:ind w:firstLine="640" w:firstLineChars="200"/>
        <w:jc w:val="left"/>
        <w:rPr>
          <w:rFonts w:eastAsia="仿宋_GB2312"/>
          <w:kern w:val="0"/>
          <w:sz w:val="32"/>
          <w:szCs w:val="32"/>
        </w:rPr>
      </w:pPr>
      <w:r>
        <w:rPr>
          <w:rFonts w:eastAsia="仿宋_GB2312"/>
          <w:kern w:val="0"/>
          <w:sz w:val="32"/>
          <w:szCs w:val="32"/>
        </w:rPr>
        <w:t>10.开展广告监测监管；开展虚假违法广告专项整治行动及公益广告工作；引导培育广告市场主体发展；指导广告协会发展。</w:t>
      </w:r>
    </w:p>
    <w:p>
      <w:pPr>
        <w:widowControl/>
        <w:spacing w:line="240" w:lineRule="auto"/>
        <w:ind w:firstLine="640" w:firstLineChars="200"/>
        <w:jc w:val="left"/>
        <w:rPr>
          <w:rFonts w:eastAsia="仿宋_GB2312"/>
          <w:kern w:val="0"/>
          <w:sz w:val="32"/>
          <w:szCs w:val="32"/>
        </w:rPr>
      </w:pPr>
      <w:r>
        <w:rPr>
          <w:rFonts w:hint="eastAsia" w:eastAsia="仿宋_GB2312"/>
          <w:kern w:val="0"/>
          <w:sz w:val="32"/>
          <w:szCs w:val="32"/>
          <w:lang w:val="en-US" w:eastAsia="zh-CN"/>
        </w:rPr>
        <w:t>11.</w:t>
      </w:r>
      <w:r>
        <w:rPr>
          <w:rFonts w:eastAsia="仿宋_GB2312"/>
          <w:kern w:val="0"/>
          <w:sz w:val="32"/>
          <w:szCs w:val="32"/>
        </w:rPr>
        <w:t>做好总局授权商标注册受理工作；指导、协助相关企业申请认定驰名商标、注册马德里商标、地理标志商标。</w:t>
      </w:r>
    </w:p>
    <w:p>
      <w:pPr>
        <w:widowControl/>
        <w:spacing w:line="240" w:lineRule="auto"/>
        <w:ind w:firstLine="640" w:firstLineChars="200"/>
        <w:jc w:val="left"/>
        <w:rPr>
          <w:rFonts w:eastAsia="仿宋_GB2312"/>
          <w:kern w:val="0"/>
          <w:sz w:val="32"/>
          <w:szCs w:val="32"/>
        </w:rPr>
      </w:pPr>
      <w:r>
        <w:rPr>
          <w:rFonts w:eastAsia="仿宋_GB2312"/>
          <w:kern w:val="0"/>
          <w:sz w:val="32"/>
          <w:szCs w:val="32"/>
        </w:rPr>
        <w:t>1</w:t>
      </w:r>
      <w:r>
        <w:rPr>
          <w:rFonts w:hint="eastAsia" w:eastAsia="仿宋_GB2312"/>
          <w:kern w:val="0"/>
          <w:sz w:val="32"/>
          <w:szCs w:val="32"/>
          <w:lang w:val="en-US" w:eastAsia="zh-CN"/>
        </w:rPr>
        <w:t>2</w:t>
      </w:r>
      <w:r>
        <w:rPr>
          <w:rFonts w:eastAsia="仿宋_GB2312"/>
          <w:kern w:val="0"/>
          <w:sz w:val="32"/>
          <w:szCs w:val="32"/>
        </w:rPr>
        <w:t>.负责对全市反垄断、反不正当竞争、打传规直、烟草市场整治、扫黑除恶、非法会议营销等专项工作的指导、协调和监管，处理相关投诉及查处大要案件。</w:t>
      </w:r>
    </w:p>
    <w:p>
      <w:pPr>
        <w:widowControl/>
        <w:spacing w:line="240" w:lineRule="auto"/>
        <w:ind w:firstLine="640" w:firstLineChars="200"/>
        <w:jc w:val="left"/>
        <w:rPr>
          <w:rFonts w:eastAsia="仿宋_GB2312"/>
          <w:kern w:val="0"/>
          <w:sz w:val="32"/>
          <w:szCs w:val="32"/>
        </w:rPr>
      </w:pPr>
      <w:r>
        <w:rPr>
          <w:rFonts w:eastAsia="仿宋_GB2312"/>
          <w:kern w:val="0"/>
          <w:sz w:val="32"/>
          <w:szCs w:val="32"/>
        </w:rPr>
        <w:t>1</w:t>
      </w:r>
      <w:r>
        <w:rPr>
          <w:rFonts w:hint="eastAsia" w:eastAsia="仿宋_GB2312"/>
          <w:kern w:val="0"/>
          <w:sz w:val="32"/>
          <w:szCs w:val="32"/>
          <w:lang w:val="en-US" w:eastAsia="zh-CN"/>
        </w:rPr>
        <w:t>3</w:t>
      </w:r>
      <w:r>
        <w:rPr>
          <w:rFonts w:eastAsia="仿宋_GB2312"/>
          <w:kern w:val="0"/>
          <w:sz w:val="32"/>
          <w:szCs w:val="32"/>
        </w:rPr>
        <w:t>.开展流通领域商品质量抽查检验工作；开展商品质量</w:t>
      </w:r>
      <w:r>
        <w:rPr>
          <w:rFonts w:hint="eastAsia" w:eastAsia="仿宋_GB2312"/>
          <w:kern w:val="0"/>
          <w:sz w:val="32"/>
          <w:szCs w:val="32"/>
          <w:lang w:eastAsia="zh-CN"/>
        </w:rPr>
        <w:t>“</w:t>
      </w:r>
      <w:r>
        <w:rPr>
          <w:rFonts w:eastAsia="仿宋_GB2312"/>
          <w:kern w:val="0"/>
          <w:sz w:val="32"/>
          <w:szCs w:val="32"/>
        </w:rPr>
        <w:t>双随机</w:t>
      </w:r>
      <w:r>
        <w:rPr>
          <w:rFonts w:hint="eastAsia" w:eastAsia="仿宋_GB2312"/>
          <w:kern w:val="0"/>
          <w:sz w:val="32"/>
          <w:szCs w:val="32"/>
          <w:lang w:eastAsia="zh-CN"/>
        </w:rPr>
        <w:t>”</w:t>
      </w:r>
      <w:r>
        <w:rPr>
          <w:rFonts w:eastAsia="仿宋_GB2312"/>
          <w:kern w:val="0"/>
          <w:sz w:val="32"/>
          <w:szCs w:val="32"/>
        </w:rPr>
        <w:t>抽查工作；推进</w:t>
      </w:r>
      <w:r>
        <w:rPr>
          <w:rFonts w:hint="eastAsia" w:eastAsia="仿宋_GB2312"/>
          <w:kern w:val="0"/>
          <w:sz w:val="32"/>
          <w:szCs w:val="32"/>
          <w:lang w:eastAsia="zh-CN"/>
        </w:rPr>
        <w:t>“</w:t>
      </w:r>
      <w:r>
        <w:rPr>
          <w:rFonts w:eastAsia="仿宋_GB2312"/>
          <w:kern w:val="0"/>
          <w:sz w:val="32"/>
          <w:szCs w:val="32"/>
        </w:rPr>
        <w:t>红盾护农</w:t>
      </w:r>
      <w:r>
        <w:rPr>
          <w:rFonts w:hint="eastAsia" w:eastAsia="仿宋_GB2312"/>
          <w:kern w:val="0"/>
          <w:sz w:val="32"/>
          <w:szCs w:val="32"/>
          <w:lang w:eastAsia="zh-CN"/>
        </w:rPr>
        <w:t>”</w:t>
      </w:r>
      <w:r>
        <w:rPr>
          <w:rFonts w:eastAsia="仿宋_GB2312"/>
          <w:kern w:val="0"/>
          <w:sz w:val="32"/>
          <w:szCs w:val="32"/>
        </w:rPr>
        <w:t>、成品油市场监管；加大环保相关知识、安全生产相关知识的宣传推广活动。</w:t>
      </w:r>
    </w:p>
    <w:p>
      <w:pPr>
        <w:widowControl/>
        <w:spacing w:line="240" w:lineRule="auto"/>
        <w:ind w:firstLine="640" w:firstLineChars="200"/>
        <w:jc w:val="left"/>
        <w:rPr>
          <w:rFonts w:hint="default" w:ascii="Times New Roman" w:hAnsi="仿宋_GB2312" w:eastAsia="仿宋_GB2312" w:cs="Times New Roman"/>
          <w:color w:val="000000"/>
          <w:kern w:val="0"/>
          <w:sz w:val="32"/>
          <w:szCs w:val="32"/>
          <w:lang w:val="en-US" w:eastAsia="zh-CN" w:bidi="ar-SA"/>
        </w:rPr>
      </w:pPr>
      <w:r>
        <w:rPr>
          <w:rFonts w:hint="eastAsia" w:eastAsia="仿宋_GB2312"/>
          <w:kern w:val="0"/>
          <w:sz w:val="32"/>
          <w:szCs w:val="32"/>
          <w:lang w:val="en-US" w:eastAsia="zh-CN"/>
        </w:rPr>
        <w:t>14.支持专利申请，尤其</w:t>
      </w:r>
      <w:r>
        <w:rPr>
          <w:rFonts w:hint="eastAsia" w:ascii="Times New Roman" w:hAnsi="仿宋_GB2312" w:eastAsia="仿宋_GB2312" w:cs="Times New Roman"/>
          <w:color w:val="000000"/>
          <w:kern w:val="0"/>
          <w:sz w:val="32"/>
          <w:szCs w:val="32"/>
          <w:lang w:val="en-US" w:eastAsia="zh-CN" w:bidi="ar-SA"/>
        </w:rPr>
        <w:t>是发明专利申请，提升专利申请量，全市发明专利申请量达到1300件以上；培育知识产权试点企业10家，每家完成10件发明专利申请，促进企业知识产权管理规范化。</w:t>
      </w:r>
    </w:p>
    <w:p>
      <w:pPr>
        <w:widowControl/>
        <w:spacing w:line="240" w:lineRule="auto"/>
        <w:ind w:firstLine="640" w:firstLineChars="200"/>
        <w:jc w:val="left"/>
        <w:rPr>
          <w:rFonts w:eastAsia="仿宋_GB2312"/>
          <w:kern w:val="0"/>
          <w:sz w:val="32"/>
          <w:szCs w:val="32"/>
        </w:rPr>
      </w:pPr>
      <w:r>
        <w:rPr>
          <w:rFonts w:eastAsia="仿宋_GB2312"/>
          <w:kern w:val="0"/>
          <w:sz w:val="32"/>
          <w:szCs w:val="32"/>
        </w:rPr>
        <w:t>1</w:t>
      </w:r>
      <w:r>
        <w:rPr>
          <w:rFonts w:hint="eastAsia" w:eastAsia="仿宋_GB2312"/>
          <w:kern w:val="0"/>
          <w:sz w:val="32"/>
          <w:szCs w:val="32"/>
          <w:lang w:val="en-US" w:eastAsia="zh-CN"/>
        </w:rPr>
        <w:t>5</w:t>
      </w:r>
      <w:r>
        <w:rPr>
          <w:rFonts w:eastAsia="仿宋_GB2312"/>
          <w:kern w:val="0"/>
          <w:sz w:val="32"/>
          <w:szCs w:val="32"/>
        </w:rPr>
        <w:t>.加强干部队伍教育，加强市场监管法律法规宣传普及。</w:t>
      </w:r>
    </w:p>
    <w:p>
      <w:pPr>
        <w:widowControl/>
        <w:spacing w:line="240" w:lineRule="auto"/>
        <w:ind w:firstLine="640" w:firstLineChars="200"/>
        <w:jc w:val="left"/>
        <w:rPr>
          <w:rFonts w:ascii="黑体" w:hAnsi="黑体" w:eastAsia="黑体"/>
          <w:kern w:val="0"/>
          <w:sz w:val="32"/>
          <w:szCs w:val="32"/>
        </w:rPr>
      </w:pPr>
      <w:r>
        <w:rPr>
          <w:rFonts w:ascii="黑体" w:hAnsi="黑体" w:eastAsia="黑体"/>
          <w:kern w:val="0"/>
          <w:sz w:val="32"/>
          <w:szCs w:val="32"/>
        </w:rPr>
        <w:t>四、绩效评价工作情况</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在评价过程中，我们结合单位实际，实施了包括收集2019年度业务工作报告、查阅2019年度财务凭证和会计报表资料等，并对照《部门整体支出绩效评价指标表》进行了自评打分，形成了自评报告。</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黑体" w:hAnsi="黑体" w:eastAsia="黑体"/>
          <w:kern w:val="0"/>
          <w:sz w:val="32"/>
          <w:szCs w:val="32"/>
          <w:lang w:eastAsia="zh-CN"/>
        </w:rPr>
        <w:t>五、</w:t>
      </w:r>
      <w:r>
        <w:rPr>
          <w:rFonts w:ascii="黑体" w:hAnsi="黑体" w:eastAsia="黑体"/>
          <w:kern w:val="0"/>
          <w:sz w:val="32"/>
          <w:szCs w:val="32"/>
        </w:rPr>
        <w:t>综合评价结果</w:t>
      </w:r>
    </w:p>
    <w:p>
      <w:pPr>
        <w:widowControl/>
        <w:numPr>
          <w:ilvl w:val="0"/>
          <w:numId w:val="0"/>
        </w:numPr>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根据《常德市市场监管局2019年度整体支出绩效评价指标体系评分表》评分，市市场监管局2019年度绩效评价得分93分，部门整体支出绩效评价为“优”。扣分情况为：</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1.预算完成率 83.52%，扣3分，主要原因：中央、省级专项资金拨付，项目资金增加；</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2.“三公经费”控制率＞100.00%，扣2分，主要原因：原单位部门预算编制时，未考虑单位职能整合因素，仅安排1台车辆更新预算；因公出国（出境）未安排预算；</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3.政府采购执行率132.51%，扣2分，主要原因：一是原单位部门预算编制时，未考虑单位职能整合因素，新车购置、设备购置等政府采购安排较少；二是部分政府采购工程、服务等支出属已在往年预算安排政府采购项目，因工期较长、暂扣质保金等原因，部分支出在本年支出，未做区分。</w:t>
      </w:r>
    </w:p>
    <w:p>
      <w:pPr>
        <w:widowControl/>
        <w:spacing w:line="240" w:lineRule="auto"/>
        <w:ind w:firstLine="640" w:firstLineChars="200"/>
        <w:jc w:val="left"/>
        <w:rPr>
          <w:rFonts w:ascii="黑体" w:hAnsi="黑体" w:eastAsia="黑体"/>
          <w:kern w:val="0"/>
          <w:sz w:val="32"/>
          <w:szCs w:val="32"/>
        </w:rPr>
      </w:pPr>
      <w:r>
        <w:rPr>
          <w:rFonts w:ascii="黑体" w:hAnsi="黑体" w:eastAsia="黑体"/>
          <w:kern w:val="0"/>
          <w:sz w:val="32"/>
          <w:szCs w:val="32"/>
        </w:rPr>
        <w:t>六、部门整体支出绩效情况</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2019年，在市委市政府的坚强领导下，我局深化改革、团结奋进、务实创新，各项工作取得了可喜的成绩。</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一是国务院办公厅印发《关于对2019年落实有关重大政策措施真抓实干成效明显地方予以督查激励的通报》，常德市作为“深化商事制度改革成效显著、落实事中事后监管等相关政策措施社会反映好的地方”受到国务院办公厅通报表彰；二是常德市“三小”整治工作经验得到中央“不忘初心、牢记使命”主题教育简报和国家市场监管总局的肯定与推介；三是获得“全国清理整顿人力资源市场秩序专项执法行动”先进单位；四是总局首届“三微大赛”微电影一等奖；五是获得全国“青少年维权岗”；六是荣获全省市场监管系统非公党建工作先进单位；七是荣获全省食品安全工作先进单位；八是省级商事制度改革“一件事、一次办”真抓实干地区激励先进单位；九是“优化营商环境成效明显的市”；十是市消委获得全国先进单位和省红旗单位；十一全市安全生产、大气污染防治、综治平安建设、法制工作、老干工作先进单位等荣誉。</w:t>
      </w:r>
    </w:p>
    <w:p>
      <w:pPr>
        <w:widowControl/>
        <w:spacing w:line="240" w:lineRule="auto"/>
        <w:ind w:firstLine="480"/>
        <w:jc w:val="left"/>
        <w:rPr>
          <w:rFonts w:hint="eastAsia" w:ascii="楷体_GB2312" w:eastAsia="楷体_GB2312"/>
          <w:kern w:val="0"/>
          <w:sz w:val="32"/>
          <w:szCs w:val="32"/>
        </w:rPr>
      </w:pPr>
      <w:r>
        <w:rPr>
          <w:rFonts w:hint="eastAsia" w:ascii="楷体_GB2312" w:eastAsia="楷体_GB2312"/>
          <w:kern w:val="0"/>
          <w:sz w:val="32"/>
          <w:szCs w:val="32"/>
        </w:rPr>
        <w:t>（一）经济效益</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严格执法办案。我局查办各类市场主体违法案件43件，罚没入库131.82万元。</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eastAsia="仿宋_GB2312"/>
          <w:kern w:val="0"/>
          <w:sz w:val="32"/>
          <w:szCs w:val="32"/>
        </w:rPr>
        <w:t>优化经济环境。一是</w:t>
      </w:r>
      <w:r>
        <w:rPr>
          <w:rFonts w:eastAsia="仿宋_GB2312"/>
          <w:b/>
          <w:bCs/>
          <w:kern w:val="0"/>
          <w:sz w:val="32"/>
          <w:szCs w:val="32"/>
        </w:rPr>
        <w:t>创优市场准入。</w:t>
      </w:r>
      <w:r>
        <w:rPr>
          <w:rFonts w:eastAsia="仿宋_GB2312"/>
          <w:kern w:val="0"/>
          <w:sz w:val="32"/>
          <w:szCs w:val="32"/>
        </w:rPr>
        <w:t>全面深入推进简政放权、</w:t>
      </w:r>
      <w:r>
        <w:rPr>
          <w:rFonts w:hint="eastAsia" w:eastAsia="仿宋_GB2312"/>
          <w:kern w:val="0"/>
          <w:sz w:val="32"/>
          <w:szCs w:val="32"/>
          <w:lang w:eastAsia="zh-CN"/>
        </w:rPr>
        <w:t>“</w:t>
      </w:r>
      <w:r>
        <w:rPr>
          <w:rFonts w:eastAsia="仿宋_GB2312"/>
          <w:kern w:val="0"/>
          <w:sz w:val="32"/>
          <w:szCs w:val="32"/>
        </w:rPr>
        <w:t>证照分离</w:t>
      </w:r>
      <w:r>
        <w:rPr>
          <w:rFonts w:hint="eastAsia" w:eastAsia="仿宋_GB2312"/>
          <w:kern w:val="0"/>
          <w:sz w:val="32"/>
          <w:szCs w:val="32"/>
          <w:lang w:eastAsia="zh-CN"/>
        </w:rPr>
        <w:t>”</w:t>
      </w:r>
      <w:r>
        <w:rPr>
          <w:rFonts w:eastAsia="仿宋_GB2312"/>
          <w:kern w:val="0"/>
          <w:sz w:val="32"/>
          <w:szCs w:val="32"/>
        </w:rPr>
        <w:t>、</w:t>
      </w:r>
      <w:r>
        <w:rPr>
          <w:rFonts w:hint="eastAsia" w:eastAsia="仿宋_GB2312"/>
          <w:kern w:val="0"/>
          <w:sz w:val="32"/>
          <w:szCs w:val="32"/>
          <w:lang w:eastAsia="zh-CN"/>
        </w:rPr>
        <w:t>“</w:t>
      </w:r>
      <w:r>
        <w:rPr>
          <w:rFonts w:eastAsia="仿宋_GB2312"/>
          <w:kern w:val="0"/>
          <w:sz w:val="32"/>
          <w:szCs w:val="32"/>
        </w:rPr>
        <w:t>多证合一</w:t>
      </w:r>
      <w:r>
        <w:rPr>
          <w:rFonts w:hint="eastAsia" w:eastAsia="仿宋_GB2312"/>
          <w:kern w:val="0"/>
          <w:sz w:val="32"/>
          <w:szCs w:val="32"/>
          <w:lang w:eastAsia="zh-CN"/>
        </w:rPr>
        <w:t>”</w:t>
      </w:r>
      <w:r>
        <w:rPr>
          <w:rFonts w:eastAsia="仿宋_GB2312"/>
          <w:kern w:val="0"/>
          <w:sz w:val="32"/>
          <w:szCs w:val="32"/>
        </w:rPr>
        <w:t>、</w:t>
      </w:r>
      <w:r>
        <w:rPr>
          <w:rFonts w:hint="eastAsia" w:eastAsia="仿宋_GB2312"/>
          <w:kern w:val="0"/>
          <w:sz w:val="32"/>
          <w:szCs w:val="32"/>
          <w:lang w:eastAsia="zh-CN"/>
        </w:rPr>
        <w:t>“</w:t>
      </w:r>
      <w:r>
        <w:rPr>
          <w:rFonts w:eastAsia="仿宋_GB2312"/>
          <w:kern w:val="0"/>
          <w:sz w:val="32"/>
          <w:szCs w:val="32"/>
        </w:rPr>
        <w:t>一件事一次办</w:t>
      </w:r>
      <w:r>
        <w:rPr>
          <w:rFonts w:hint="eastAsia" w:eastAsia="仿宋_GB2312"/>
          <w:kern w:val="0"/>
          <w:sz w:val="32"/>
          <w:szCs w:val="32"/>
          <w:lang w:eastAsia="zh-CN"/>
        </w:rPr>
        <w:t>”</w:t>
      </w:r>
      <w:r>
        <w:rPr>
          <w:rFonts w:eastAsia="仿宋_GB2312"/>
          <w:kern w:val="0"/>
          <w:sz w:val="32"/>
          <w:szCs w:val="32"/>
        </w:rPr>
        <w:t>等改革。</w:t>
      </w:r>
      <w:r>
        <w:rPr>
          <w:rFonts w:eastAsia="仿宋_GB2312"/>
          <w:b/>
          <w:bCs/>
          <w:kern w:val="0"/>
          <w:sz w:val="32"/>
          <w:szCs w:val="32"/>
        </w:rPr>
        <w:t>二是优化政务服务。</w:t>
      </w:r>
      <w:r>
        <w:rPr>
          <w:rFonts w:eastAsia="仿宋_GB2312"/>
          <w:kern w:val="0"/>
          <w:sz w:val="32"/>
          <w:szCs w:val="32"/>
        </w:rPr>
        <w:t>取消名称预先核准，大力推广企业登记全程网上办理，通过互联网</w:t>
      </w:r>
      <w:r>
        <w:rPr>
          <w:rFonts w:hint="eastAsia" w:eastAsia="仿宋_GB2312"/>
          <w:kern w:val="0"/>
          <w:sz w:val="32"/>
          <w:szCs w:val="32"/>
          <w:lang w:eastAsia="zh-CN"/>
        </w:rPr>
        <w:t>“</w:t>
      </w:r>
      <w:r>
        <w:rPr>
          <w:rFonts w:eastAsia="仿宋_GB2312"/>
          <w:kern w:val="0"/>
          <w:sz w:val="32"/>
          <w:szCs w:val="32"/>
        </w:rPr>
        <w:t>企业登记全程电子化系统</w:t>
      </w:r>
      <w:r>
        <w:rPr>
          <w:rFonts w:hint="eastAsia" w:eastAsia="仿宋_GB2312"/>
          <w:kern w:val="0"/>
          <w:sz w:val="32"/>
          <w:szCs w:val="32"/>
          <w:lang w:eastAsia="zh-CN"/>
        </w:rPr>
        <w:t>”</w:t>
      </w:r>
      <w:r>
        <w:rPr>
          <w:rFonts w:eastAsia="仿宋_GB2312"/>
          <w:kern w:val="0"/>
          <w:sz w:val="32"/>
          <w:szCs w:val="32"/>
        </w:rPr>
        <w:t>和手机APP</w:t>
      </w:r>
      <w:r>
        <w:rPr>
          <w:rFonts w:hint="eastAsia" w:eastAsia="仿宋_GB2312"/>
          <w:kern w:val="0"/>
          <w:sz w:val="32"/>
          <w:szCs w:val="32"/>
          <w:lang w:eastAsia="zh-CN"/>
        </w:rPr>
        <w:t>“</w:t>
      </w:r>
      <w:r>
        <w:rPr>
          <w:rFonts w:eastAsia="仿宋_GB2312"/>
          <w:kern w:val="0"/>
          <w:sz w:val="32"/>
          <w:szCs w:val="32"/>
        </w:rPr>
        <w:t>湖南企业登记</w:t>
      </w:r>
      <w:r>
        <w:rPr>
          <w:rFonts w:hint="eastAsia" w:eastAsia="仿宋_GB2312"/>
          <w:kern w:val="0"/>
          <w:sz w:val="32"/>
          <w:szCs w:val="32"/>
          <w:lang w:eastAsia="zh-CN"/>
        </w:rPr>
        <w:t>”</w:t>
      </w:r>
      <w:r>
        <w:rPr>
          <w:rFonts w:eastAsia="仿宋_GB2312"/>
          <w:kern w:val="0"/>
          <w:sz w:val="32"/>
          <w:szCs w:val="32"/>
        </w:rPr>
        <w:t>，实现企业登记全流程网上办理。开辟</w:t>
      </w:r>
      <w:r>
        <w:rPr>
          <w:rFonts w:hint="eastAsia" w:eastAsia="仿宋_GB2312"/>
          <w:kern w:val="0"/>
          <w:sz w:val="32"/>
          <w:szCs w:val="32"/>
          <w:lang w:eastAsia="zh-CN"/>
        </w:rPr>
        <w:t>“</w:t>
      </w:r>
      <w:r>
        <w:rPr>
          <w:rFonts w:eastAsia="仿宋_GB2312"/>
          <w:kern w:val="0"/>
          <w:sz w:val="32"/>
          <w:szCs w:val="32"/>
        </w:rPr>
        <w:t>免费绿色通道</w:t>
      </w:r>
      <w:r>
        <w:rPr>
          <w:rFonts w:hint="eastAsia" w:eastAsia="仿宋_GB2312"/>
          <w:kern w:val="0"/>
          <w:sz w:val="32"/>
          <w:szCs w:val="32"/>
          <w:lang w:eastAsia="zh-CN"/>
        </w:rPr>
        <w:t>”“</w:t>
      </w:r>
      <w:r>
        <w:rPr>
          <w:rFonts w:eastAsia="仿宋_GB2312"/>
          <w:kern w:val="0"/>
          <w:sz w:val="32"/>
          <w:szCs w:val="32"/>
        </w:rPr>
        <w:t>免费邮寄送达</w:t>
      </w:r>
      <w:r>
        <w:rPr>
          <w:rFonts w:hint="eastAsia" w:eastAsia="仿宋_GB2312"/>
          <w:kern w:val="0"/>
          <w:sz w:val="32"/>
          <w:szCs w:val="32"/>
          <w:lang w:eastAsia="zh-CN"/>
        </w:rPr>
        <w:t>”</w:t>
      </w:r>
      <w:r>
        <w:rPr>
          <w:rFonts w:eastAsia="仿宋_GB2312"/>
          <w:kern w:val="0"/>
          <w:sz w:val="32"/>
          <w:szCs w:val="32"/>
        </w:rPr>
        <w:t>服务。推行企业简易注销改革。</w:t>
      </w:r>
      <w:r>
        <w:rPr>
          <w:rFonts w:eastAsia="仿宋_GB2312"/>
          <w:b/>
          <w:bCs/>
          <w:kern w:val="0"/>
          <w:sz w:val="32"/>
          <w:szCs w:val="32"/>
        </w:rPr>
        <w:t>三是优化营商环境。</w:t>
      </w:r>
      <w:r>
        <w:rPr>
          <w:rFonts w:eastAsia="仿宋_GB2312"/>
          <w:kern w:val="0"/>
          <w:sz w:val="32"/>
          <w:szCs w:val="32"/>
        </w:rPr>
        <w:t>出</w:t>
      </w:r>
      <w:r>
        <w:rPr>
          <w:rFonts w:hint="eastAsia" w:ascii="Times New Roman" w:hAnsi="仿宋_GB2312" w:eastAsia="仿宋_GB2312" w:cs="Times New Roman"/>
          <w:color w:val="000000"/>
          <w:kern w:val="0"/>
          <w:sz w:val="32"/>
          <w:szCs w:val="32"/>
          <w:lang w:val="en-US" w:eastAsia="zh-CN" w:bidi="ar-SA"/>
        </w:rPr>
        <w:t>台了《常德市市场监督管理局关于促进民营企业高质量发展的若干措施》28条。在全市转供电环节收费专项整治工作中，共责令61家单位清退多收电费317.61万元，占全省清退电费总数的三分之一。</w:t>
      </w:r>
    </w:p>
    <w:p>
      <w:pPr>
        <w:widowControl/>
        <w:spacing w:line="240" w:lineRule="auto"/>
        <w:ind w:firstLine="640" w:firstLineChars="200"/>
        <w:jc w:val="left"/>
        <w:rPr>
          <w:rFonts w:hint="eastAsia" w:ascii="楷体_GB2312" w:eastAsia="楷体_GB2312"/>
          <w:kern w:val="0"/>
          <w:sz w:val="32"/>
          <w:szCs w:val="32"/>
        </w:rPr>
      </w:pPr>
      <w:r>
        <w:rPr>
          <w:rFonts w:hint="eastAsia" w:ascii="楷体_GB2312" w:eastAsia="楷体_GB2312"/>
          <w:kern w:val="0"/>
          <w:sz w:val="32"/>
          <w:szCs w:val="32"/>
        </w:rPr>
        <w:t>（二）社会效益</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2019年，在市委市政府坚强领导下，我局按照“向市场要活力、向监管要效益”的总体思路，改革创新、攻坚克难，基本实现年初工作目标，较好地保障了全市人民群众买得放心、用得放心、吃得放心。</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1.商事改革成效明显。深入推进简政放权。将原来涉及60个登记事项的137张表格整合为59张，全省率先实现首批100个事项“一件事一次办”，全市企业开办时间压缩至3个工作日内。取消名称预先核准，大力推广市场主体登记全程网上办理，全市共有16854户企业通过全程电子化完成企业登记。推行简易注销改革，积极破解市场主体“退出难”问题，全市共有5634户企业选择通过简易注销退出市场。商标受理窗口实现零资料网上申报，向国家商标局申请受理186件、后续业务11件。为企业开辟“免费绿色通道”“邮寄免费送达”服务，指导区县优化服务，柳叶湖在全市首推办照办证“同城通办”，武陵公共服务办理下沉到社区。全市市场主体31.16万户，同比增长16.84%，日均新登记市场主体273户。不断完善监管机制。推进“双随机、一公开”监管，建立完善检查人员信息库，市局机关对市场主体登记事项、知识产权保护、消费者权益保护、价格监督与反不正当竞争、食品消费、广告监督管理等开展了“双随机、一公开”抽查。联合市交警支队、市环境保护局，开展了机动车检验检测、生态环境监测跨部门“双随机”抽查，指导汉寿县、石门县开展了跨区域、跨部门的“双随机、一公开”联合抽查行动。坚持依法监管和包容审慎监管相统一，联合司法局出台了《轻微违法违规生产经营行为免罚清单（第1批）》共51条，同时，对经责令改正、批评教育、警告、约谈后仍拒不改正的生产经营者，依法从重处罚。积极探索信用监管。建立了“政府主导、部门负责、第三方参与评估”的公平竞争审查工作机制，全面推进“双随机、一公开”监管，列入经营异常名录9686家（其中，企业2569家、农村专业合作社390家、个体户6727户）。企业、个体和农专年报率分别为95.16%、97.97%、93.17%，三项年报率均为全省第一。推进信息化建设。全省市场监管系统的综合执法平台，投资3000万元的“智慧市场监管”平台建设纳入市政府规划。</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2.质量工作不断提升。起草了《关于开展质量提升行动的实施意见》，出台了《助推民营经济发展若干意见》，开展形式多样的“质量月”活动。全省纸品标准化技术委员会落地常德，国家生活用纸产品质量监督检验中心通过国家验收，成为常德首个“国字号”检测中心。我市8个区县市计量所全部顺利通过省局组织的现场复查，全年共检定各类强检计量器具11.3万余台件，合格率98%，市本级完成各类检定计量器具约7.5万台件，其中强检计量器具约5.4万台件。开展对标达标提标创标行动。新增公开各类标准569项、团体标准3个（常德米粉、常德物流服务、常德香米系列标准）、14个生活用纸检验检测地方标准和5个农业技术规范地方标准，通过了省局专家评审；申报了常德市基本公共服务标准化综合试点、“一件事一次办”改革助推基本公共服务标准体系建设专项试点等3个国家级服务标准化试点项目。积极推进常德广告产业园区升级，全市共有广告经营主体4573家，总产值9.26亿元，其中武陵区省级广告产业园区共引进新文化企业138家，实现直接广告文创产值5.76亿元，间接文化产值37.2亿元，上缴税收3415万元。</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3.知识产权可圈可点。立足改革新起点，紧扣高质量发展，全力推进知识产权工作，在全省知识产权工作同类地区后发赶超。发明专利申请量增长率遥遥领先。全市发明专利申请量达到2389件，比2018年增长48.66%，远超12%的绩效考核目标，增长率在一类地区中排名第一，知识产权综合绩效考核全省第二。地理标志产品数量居全省前列。全市地理标志保护产品15个，数量全省第一。全年新申报地理标志证明商标6件，地理标志保护产品3个，申请量遥遥领先全省。知识产权质押融资取得突破。全年质押融资额达到1.45亿元，同比增长98.3%，突破了亿元大关。试点示范成果显著。全年新增国家知识产权优势企业7家，国家知识产权示范企业1家，新增通过知识产权贯标企业达16家，湖南瑭桥科技发展有限公司知识产权负责人黄道权获得了全国知识产权工作先进个人的荣誉称号。常德芷兰实验学校发挥全国中小学知识产权教育示范学校作用，带动新增省级知识产权试点学校2家，试点学校获国际和全国发明奖15项。知识产权保护力度加大。开展“铁拳”保护行动，加大对商标、专利侵权打击力度，全市共处理知识产权案件292件，其中商标案件114件、专利案件178件，我市鼎城区有1件典型案例入选国家知识产权保护十大典型案件。</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4.监管执法持续有力。围绕敏感时间节点、监管整治重点、群众关注焦点，开展“三小”食品行业专项整治、农村假冒伪劣食品集中整治、食品药品特种设备安全隐患大排查大整治、校园食品安全风险隐患排查专项行动、“保健”市场乱象百日行动暨扫黑除恶专项行动、烟草市场专项整治、会议营销专项整治、产品质量专项抽检、计量器具专项检查、旅游服务行业合同格式条款集中约谈、公用企业行政告诫等，全市系统共查办各类案件3495件、结案3265件。其中，查处食品药品一般程序案件2184件，案值1201.12万元，罚没2187.64万元，吊销许可证2家，查处无证经营40家，责令停产停业27家，捣毁制假售假窝点2个；向公安机关移送扫黑除恶线索12条；办理侵犯知识产权案件114件、罚款127.90万元；办理制售假冒伪劣案件1135件、罚款1334.10万元，移送司法机关案件9件；检查卷烟零售经营户9724户，清理无证经营户338户，查获“假私非”卷烟75490条，立案272起。“清理整顿人力资源市场秩序专项执法行动”获人社部、国家市场监管总局联合表彰。医疗购销领域不正当竞争和价格违法行为专项整治、原料药市场专项检查、医疗服务价格专项检查、降低一般工商业电价转供电单位检查、涉企收费专项检查、药品价格调查等推进有力，有效维护了公平竞争的市场秩序。</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5.安全形势总体稳定。严格安全监管，今年全市没有发生食品、药品、特种设备、重点产商品方面的安全事件，特别是食品安全方面实现了连续18年零事故。食品方面。深入推进创建国家食品安全示范城市，161项“创城”指标完成近80%，全省综合考核排名第一，加大“三小”综合整治力度，出台以奖代补政策，计划投入3000万元对全市1万多家小餐饮进行提质改造，已完成改造2898家，设立食品安全示范街23条，划定食品摊贩集中区71个，发放新的《食品经营许可证》3500份，取缔黑作坊118家。开展食品安全抽检5499批次，合格5250批次，合格率95.50%。积极应对误采误食野生蘑菇中毒事件，没有出现死亡病例。开展白板肉整治暨非洲猪瘟疫情防控，关闭生猪交易市场19个，查扣（销毁）无“两证两章”白板肉4323.10公斤。药品方面。实施中药饮片质量集中整治，检查单位35家，抽验42批次，立案查处4起，货值2.40万元，罚没6.97万元，责令整改9家。药品、化妆品抽检596批次，合格率97.10%。开展“执业药师挂证”专项整治，30余名“挂证”执业药师主动注销了注册证，一些挂证药店被查处。产商品方面。对成品油、烟花爆竹、食品相关产品、电动自行车等产品，市级监督抽查抽样1000余批次，组织承担国抽、省抽400余批次。对婴幼儿服装、成人纸尿裤、尿不湿、电烤桌、浴霸、电取暖器、老花镜等商品进行质量抽检，共抽检商品样品70组。完成学生服、棉胎、床上用品、帆布等纺织制品免费委托检验46批次，完成新疆监管棉入库公证检验4233批、18.20万吨。特种设备方面，组织开展电梯安全宣传进社区、进校园等活动以及电梯困人应急救援演练。组织隐患排查，以快开门压力容器、危险化学品相关特种设备、大型游乐设施、电站锅炉范围内压力管道、公众聚集场所电梯、城镇埋地燃气管道等为重点，共检查特种设备生产使用单位219家，排查风险隐患130条，发出安全监察指令79份，责令停运设备79台，在省局对特种设备领域的“强执法防事故”两次排名中均为第一，有力保障了特种设备安全。</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6.权益维护更加有力。以“信用让消费者更放心”为主题，开展“3·15”消费者权益保护宣传活动，累计发放宣传单8万多份、宣传册2万多份，累计接待消费者咨询4787人次，现场受理消费纠纷71起，引导企业诚信经营，推动全市消费领域诚信体系建设。推进“12315、12331、12358、12365、12330”五条热线整合，实行“12315”一线对外，建立“消费维权服务站”432个、消费者协会分会168个、消费者投诉站和12315联络站2145个。全年共接到消费者来电来访、来信来函投诉举报20255件，日均受理92件，为消费者挽回经济损失近1500万元。</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7、中心工作不折不扣。积极推进招商引资和生物医药产业发展。围绕市委“开放强市、产业立市”战略，成立了局招商引资和生物医药产业发展领导小组，起草了《关于加快推进常德市生物医药产业高质量发展实施办法》。积极承接生物医药产业项目转移，市政府与省药监局签订“药械化”战略合作协议，医疗器械产业园、美妆产业园签约入驻十多家企业；石门全域旅游开发项目及其基础设施配套建设项目已落地开工；石门光降解新材料产业园项目已举行奠基仪式；中铁加仑液化天然气物流股份公司已落户常德；重庆药友总投资50亿的项目落户德山经开区，中国中药产业园项目10月份通过了中药饮片GMP认证，省局发证后即可投产销售。生物医药产业全年新引进项目9个，新注册品种42个，通过仿制药品一致性评价3个品种。全市生物医药企业完成产值120多亿元、税收4.63亿元、新增投资4.76亿元。积极推进乡村振兴战略。指导农产品认证，发挥职能优势，指导湖南金荷花休闲农庄有限公司、常德市柳叶湖生态渔业有限公司等企业实施自愿性有机认证，提高蔬菜、水果的品质。加强农业标准化示范区试点示范，配合省局完成了第九批省级4个农业标准化、1个服务业标准化试点示范项目的评审验收。大力宣传推介地理标志产品，制作发布了“常德擂茶”“石门土鸡”两个地理标志产品概念宣传片，移动互联网上线后点击量均超过3000万次，带动相关产品销量猛增。组织以“灵犀”茶油为代表的津市茶油地标产品助力精准扶贫，为石门县子良镇陈家湾村提供200亩共1.5万株油茶苗。积极配合市政府驻太阳山社区乡村振兴工作组工作，指派专人驻村，落实乡村振兴帮扶资金20万元，主动为联点村解决实际问题。积极推进点村扶贫。对石门县子良镇陈家湾村115户建档立卡贫困户逐一开展走访，在广泛征求村民代表、村干部和乡镇领导意见后，起草了《2019-2020年陈家湾村脱贫攻坚工作规划》。落实结对帮扶，建立结对帮扶台账，组织单位干部职工到村开展走访4次。开展消费扶贫，我局从陈家湾村购买蜂蜜、葛粉、柑橘、南瓜、土豆、辣椒等农产品22500元，购买牛肉、羊肉、土鸡、猪肉等肉食品共96850元。积极筹措资金，后盾单位共筹措帮扶资金302万元，分两年到位，2019年落实172万元，其中我局落实了100万；同时，积极争取各类项目资金150万元、社会帮扶资金90万元。推进基础建设，公路硬化、道路亮化、安全饮水、垃圾处理、沟渠塘坝清理等工作有序推进。实施产业扶贫，结合实际情况，发展油茶种植800亩，流转闲置土地120亩实行药材、烟叶套种，整合产业发展帮扶资金10万元鼓励村民发展鸡、牛、羊、生猪和蜂蜜养殖等。同时，还积极推进助学帮困和校园改造工程。</w:t>
      </w:r>
    </w:p>
    <w:p>
      <w:pPr>
        <w:widowControl/>
        <w:spacing w:line="240" w:lineRule="auto"/>
        <w:ind w:firstLine="640" w:firstLineChars="200"/>
        <w:jc w:val="left"/>
        <w:rPr>
          <w:rFonts w:hint="eastAsia" w:ascii="黑体" w:hAnsi="黑体" w:eastAsia="黑体"/>
          <w:kern w:val="0"/>
          <w:sz w:val="32"/>
          <w:szCs w:val="32"/>
          <w:lang w:val="en-US" w:eastAsia="zh-CN"/>
        </w:rPr>
      </w:pPr>
      <w:r>
        <w:rPr>
          <w:rFonts w:hint="eastAsia" w:ascii="黑体" w:hAnsi="黑体" w:eastAsia="黑体"/>
          <w:kern w:val="0"/>
          <w:sz w:val="32"/>
          <w:szCs w:val="32"/>
          <w:lang w:val="en-US" w:eastAsia="zh-CN"/>
        </w:rPr>
        <w:t>七、存在的主要问题</w:t>
      </w:r>
    </w:p>
    <w:p>
      <w:pPr>
        <w:widowControl/>
        <w:spacing w:line="240" w:lineRule="auto"/>
        <w:ind w:firstLine="640" w:firstLineChars="200"/>
        <w:jc w:val="left"/>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我局财政资金管理能严格遵守财经纪律和财务制度，但是仍然存在财政资金实际使用不及时、不精细的地方。</w:t>
      </w:r>
    </w:p>
    <w:p>
      <w:pPr>
        <w:widowControl/>
        <w:spacing w:line="240" w:lineRule="auto"/>
        <w:ind w:firstLine="640" w:firstLineChars="200"/>
        <w:jc w:val="left"/>
        <w:rPr>
          <w:rFonts w:ascii="黑体" w:hAnsi="黑体" w:eastAsia="黑体"/>
          <w:kern w:val="0"/>
          <w:sz w:val="32"/>
          <w:szCs w:val="32"/>
          <w:highlight w:val="cyan"/>
        </w:rPr>
      </w:pPr>
      <w:r>
        <w:rPr>
          <w:rFonts w:ascii="黑体" w:hAnsi="黑体" w:eastAsia="黑体"/>
          <w:kern w:val="0"/>
          <w:sz w:val="32"/>
          <w:szCs w:val="32"/>
        </w:rPr>
        <w:t>八、建议</w:t>
      </w:r>
    </w:p>
    <w:p>
      <w:pPr>
        <w:pStyle w:val="4"/>
        <w:spacing w:before="0" w:beforeAutospacing="0" w:after="0" w:afterAutospacing="0" w:line="600" w:lineRule="exact"/>
        <w:ind w:firstLine="640" w:firstLineChars="200"/>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在今后的财政资金管理中，我们将进一步细化财政资金预算申报，强化基层与实际工作的调研，做到合理安排资金，提高财政资金使用效果。</w:t>
      </w:r>
    </w:p>
    <w:p>
      <w:pPr>
        <w:pStyle w:val="4"/>
        <w:spacing w:before="0" w:beforeAutospacing="0" w:after="0" w:afterAutospacing="0" w:line="600" w:lineRule="exact"/>
        <w:ind w:firstLine="640" w:firstLineChars="200"/>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1.进一步梳理专项资金，加强专项资金的整合力度。按照资金使用方向的不同进行归类，并在大类中对政策目标一致或扶持对象一致的项目再进行整合，以提升管理效率。</w:t>
      </w:r>
    </w:p>
    <w:p>
      <w:pPr>
        <w:pStyle w:val="4"/>
        <w:spacing w:before="0" w:beforeAutospacing="0" w:after="0" w:afterAutospacing="0" w:line="600" w:lineRule="exact"/>
        <w:ind w:firstLine="640" w:firstLineChars="200"/>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2.构建单位财务部门和业务部门共同参与、协调配合的绩效评价工作机制，落实 “谁干事谁花钱、谁花钱谁担责”的权责机制，提高财政资金使用效益。同时组织与业务部门对预算绩效目标管理的学习，逐步树立以绩效目标为导向的管理理念，在申请预算时即明确细化、量化的目标，以清晰掌握年度工作目标和方向，在目标的约束下开展工作。</w:t>
      </w:r>
    </w:p>
    <w:p>
      <w:pPr>
        <w:pStyle w:val="4"/>
        <w:spacing w:before="0" w:beforeAutospacing="0" w:after="0" w:afterAutospacing="0" w:line="600" w:lineRule="exact"/>
        <w:ind w:firstLine="640" w:firstLineChars="200"/>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3.加强宣传培训，强化预算绩效管理意识，提高业务科室参与绩效评价工作积极性与主动性。</w:t>
      </w:r>
    </w:p>
    <w:p>
      <w:pPr>
        <w:pStyle w:val="4"/>
        <w:spacing w:before="0" w:beforeAutospacing="0" w:after="0" w:afterAutospacing="0" w:line="600" w:lineRule="exact"/>
        <w:ind w:firstLine="640" w:firstLineChars="200"/>
        <w:rPr>
          <w:rFonts w:hint="default"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附1：部门整体支出绩效评价指标表</w:t>
      </w:r>
    </w:p>
    <w:p>
      <w:pPr>
        <w:pStyle w:val="4"/>
        <w:spacing w:before="0" w:beforeAutospacing="0" w:after="0" w:afterAutospacing="0" w:line="600" w:lineRule="exact"/>
        <w:ind w:firstLine="640" w:firstLineChars="200"/>
        <w:rPr>
          <w:rFonts w:hint="eastAsia" w:ascii="Times New Roman" w:hAnsi="仿宋_GB2312" w:eastAsia="仿宋_GB2312" w:cs="Times New Roman"/>
          <w:color w:val="000000"/>
          <w:kern w:val="0"/>
          <w:sz w:val="32"/>
          <w:szCs w:val="32"/>
          <w:lang w:val="en-US" w:eastAsia="zh-CN" w:bidi="ar-SA"/>
        </w:rPr>
      </w:pPr>
      <w:r>
        <w:rPr>
          <w:rFonts w:hint="eastAsia" w:ascii="Times New Roman" w:hAnsi="仿宋_GB2312" w:eastAsia="仿宋_GB2312" w:cs="Times New Roman"/>
          <w:color w:val="000000"/>
          <w:kern w:val="0"/>
          <w:sz w:val="32"/>
          <w:szCs w:val="32"/>
          <w:lang w:val="en-US" w:eastAsia="zh-CN" w:bidi="ar-SA"/>
        </w:rPr>
        <w:t>附2：部门整体支出绩效评价基础数据表</w:t>
      </w:r>
    </w:p>
    <w:p>
      <w:pPr>
        <w:widowControl/>
        <w:shd w:val="clear" w:color="auto" w:fill="FFFFFF"/>
        <w:spacing w:line="240" w:lineRule="auto"/>
        <w:jc w:val="left"/>
        <w:rPr>
          <w:rFonts w:eastAsia="仿宋_GB2312"/>
          <w:kern w:val="0"/>
        </w:rPr>
      </w:pPr>
    </w:p>
    <w:p>
      <w:pPr>
        <w:widowControl/>
        <w:shd w:val="clear" w:color="auto" w:fill="FFFFFF"/>
        <w:spacing w:line="240" w:lineRule="auto"/>
        <w:jc w:val="left"/>
        <w:rPr>
          <w:rFonts w:eastAsia="仿宋_GB2312"/>
          <w:kern w:val="0"/>
        </w:rPr>
      </w:pPr>
    </w:p>
    <w:p>
      <w:pPr>
        <w:widowControl/>
        <w:shd w:val="clear" w:color="auto" w:fill="FFFFFF"/>
        <w:spacing w:line="240" w:lineRule="auto"/>
        <w:ind w:firstLine="420"/>
        <w:jc w:val="left"/>
        <w:rPr>
          <w:rFonts w:eastAsia="仿宋_GB2312"/>
          <w:kern w:val="0"/>
          <w:sz w:val="32"/>
          <w:szCs w:val="32"/>
        </w:rPr>
      </w:pPr>
      <w:r>
        <w:rPr>
          <w:rFonts w:eastAsia="仿宋_GB2312"/>
          <w:kern w:val="0"/>
        </w:rPr>
        <w:t xml:space="preserve">                                           </w:t>
      </w:r>
      <w:r>
        <w:rPr>
          <w:rFonts w:eastAsia="仿宋_GB2312"/>
          <w:kern w:val="0"/>
          <w:sz w:val="32"/>
          <w:szCs w:val="32"/>
        </w:rPr>
        <w:t>常德市市场监督管理局</w:t>
      </w:r>
    </w:p>
    <w:p>
      <w:pPr>
        <w:widowControl/>
        <w:jc w:val="left"/>
      </w:pP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2020年</w:t>
      </w:r>
      <w:r>
        <w:rPr>
          <w:rFonts w:hint="eastAsia" w:eastAsia="仿宋_GB2312"/>
          <w:kern w:val="0"/>
          <w:sz w:val="32"/>
          <w:szCs w:val="32"/>
          <w:lang w:val="en-US" w:eastAsia="zh-CN"/>
        </w:rPr>
        <w:t>8</w:t>
      </w:r>
      <w:r>
        <w:rPr>
          <w:rFonts w:eastAsia="仿宋_GB2312"/>
          <w:kern w:val="0"/>
          <w:sz w:val="32"/>
          <w:szCs w:val="32"/>
        </w:rPr>
        <w:t>月7</w:t>
      </w:r>
      <w:r>
        <w:rPr>
          <w:rFonts w:hint="eastAsia" w:eastAsia="仿宋_GB2312"/>
          <w:kern w:val="0"/>
          <w:sz w:val="32"/>
          <w:szCs w:val="32"/>
          <w:lang w:eastAsia="zh-CN"/>
        </w:rPr>
        <w:t>日</w:t>
      </w:r>
    </w:p>
    <w:p/>
    <w:p/>
    <w:p/>
    <w:sectPr>
      <w:headerReference r:id="rId3" w:type="default"/>
      <w:footerReference r:id="rId4" w:type="default"/>
      <w:pgSz w:w="11906" w:h="16838"/>
      <w:pgMar w:top="1440" w:right="1800" w:bottom="898" w:left="180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C43E6"/>
    <w:rsid w:val="00AE6C8F"/>
    <w:rsid w:val="07992F3E"/>
    <w:rsid w:val="0F3A25A0"/>
    <w:rsid w:val="138A3427"/>
    <w:rsid w:val="1691790E"/>
    <w:rsid w:val="1B7D4D74"/>
    <w:rsid w:val="21F858F5"/>
    <w:rsid w:val="27050419"/>
    <w:rsid w:val="34223688"/>
    <w:rsid w:val="34DD17A5"/>
    <w:rsid w:val="351A17DA"/>
    <w:rsid w:val="3AD92586"/>
    <w:rsid w:val="45E50D3E"/>
    <w:rsid w:val="520872F3"/>
    <w:rsid w:val="575F8826"/>
    <w:rsid w:val="5FF9B7F8"/>
    <w:rsid w:val="684C43E6"/>
    <w:rsid w:val="6F9F2207"/>
    <w:rsid w:val="71291A00"/>
    <w:rsid w:val="7AA86E70"/>
    <w:rsid w:val="7AD8154A"/>
    <w:rsid w:val="7FDEF7E8"/>
    <w:rsid w:val="DFCD4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8">
    <w:name w:val="font41"/>
    <w:basedOn w:val="6"/>
    <w:qFormat/>
    <w:uiPriority w:val="0"/>
    <w:rPr>
      <w:rFonts w:hint="eastAsia" w:ascii="宋体" w:hAnsi="宋体" w:eastAsia="宋体" w:cs="宋体"/>
      <w:color w:val="000000"/>
      <w:sz w:val="24"/>
      <w:szCs w:val="24"/>
      <w:u w:val="none"/>
    </w:rPr>
  </w:style>
  <w:style w:type="character" w:customStyle="1" w:styleId="9">
    <w:name w:val="font21"/>
    <w:basedOn w:val="6"/>
    <w:qFormat/>
    <w:uiPriority w:val="0"/>
    <w:rPr>
      <w:rFonts w:hint="eastAsia" w:ascii="宋体" w:hAnsi="宋体" w:eastAsia="宋体" w:cs="宋体"/>
      <w:color w:val="000000"/>
      <w:sz w:val="24"/>
      <w:szCs w:val="24"/>
      <w:u w:val="none"/>
    </w:rPr>
  </w:style>
  <w:style w:type="character" w:customStyle="1" w:styleId="10">
    <w:name w:val="font51"/>
    <w:basedOn w:val="6"/>
    <w:qFormat/>
    <w:uiPriority w:val="0"/>
    <w:rPr>
      <w:rFonts w:hint="eastAsia" w:ascii="宋体" w:hAnsi="宋体" w:eastAsia="宋体" w:cs="宋体"/>
      <w:color w:val="000000"/>
      <w:sz w:val="21"/>
      <w:szCs w:val="21"/>
      <w:u w:val="none"/>
    </w:rPr>
  </w:style>
  <w:style w:type="character" w:customStyle="1" w:styleId="11">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11723</Words>
  <Characters>12767</Characters>
  <Lines>0</Lines>
  <Paragraphs>0</Paragraphs>
  <TotalTime>2</TotalTime>
  <ScaleCrop>false</ScaleCrop>
  <LinksUpToDate>false</LinksUpToDate>
  <CharactersWithSpaces>13140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2020-08-18T03:58:00Z</dcterms:created>
  <dc:creator>果妈</dc:creator>
  <cp:lastModifiedBy>1rong</cp:lastModifiedBy>
  <dcterms:modified xsi:type="dcterms:W3CDTF">2024-11-29T11:25:00Z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CD9D418C90334259A243BE1ED0834555_13</vt:lpwstr>
  </property>
</Properties>
</file>