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9720" w:type="dxa"/>
        <w:tblInd w:w="-13" w:type="dxa"/>
        <w:tblLayout w:type="autofit"/>
        <w:tblCellMar>
          <w:top w:w="0" w:type="dxa"/>
          <w:left w:w="108" w:type="dxa"/>
          <w:bottom w:w="0" w:type="dxa"/>
          <w:right w:w="108" w:type="dxa"/>
        </w:tblCellMar>
      </w:tblPr>
      <w:tblGrid>
        <w:gridCol w:w="620"/>
        <w:gridCol w:w="620"/>
        <w:gridCol w:w="880"/>
        <w:gridCol w:w="516"/>
        <w:gridCol w:w="3724"/>
        <w:gridCol w:w="2500"/>
        <w:gridCol w:w="860"/>
      </w:tblGrid>
      <w:tr>
        <w:tblPrEx>
          <w:tblCellMar>
            <w:top w:w="0" w:type="dxa"/>
            <w:left w:w="108" w:type="dxa"/>
            <w:bottom w:w="0" w:type="dxa"/>
            <w:right w:w="108" w:type="dxa"/>
          </w:tblCellMar>
        </w:tblPrEx>
        <w:trPr>
          <w:trHeight w:val="765" w:hRule="atLeast"/>
        </w:trPr>
        <w:tc>
          <w:tcPr>
            <w:tcW w:w="9720" w:type="dxa"/>
            <w:gridSpan w:val="7"/>
            <w:tcBorders>
              <w:top w:val="nil"/>
              <w:left w:val="nil"/>
              <w:bottom w:val="nil"/>
              <w:right w:val="nil"/>
            </w:tcBorders>
            <w:noWrap/>
            <w:vAlign w:val="center"/>
          </w:tcPr>
          <w:p>
            <w:pPr>
              <w:widowControl/>
              <w:jc w:val="center"/>
              <w:rPr>
                <w:rFonts w:ascii="方正小标宋_GBK" w:hAnsi="宋体" w:eastAsia="方正小标宋_GBK"/>
                <w:kern w:val="0"/>
                <w:sz w:val="36"/>
                <w:szCs w:val="36"/>
              </w:rPr>
            </w:pPr>
            <w:r>
              <w:rPr>
                <w:rFonts w:hint="eastAsia" w:ascii="方正小标宋_GBK" w:hAnsi="宋体" w:eastAsia="方正小标宋_GBK" w:cs="方正小标宋_GBK"/>
                <w:kern w:val="0"/>
                <w:sz w:val="36"/>
                <w:szCs w:val="36"/>
              </w:rPr>
              <w:t>部门整体支出绩效评价指标体系</w:t>
            </w:r>
          </w:p>
        </w:tc>
      </w:tr>
      <w:tr>
        <w:tblPrEx>
          <w:tblCellMar>
            <w:top w:w="0" w:type="dxa"/>
            <w:left w:w="108" w:type="dxa"/>
            <w:bottom w:w="0" w:type="dxa"/>
            <w:right w:w="108" w:type="dxa"/>
          </w:tblCellMar>
        </w:tblPrEx>
        <w:trPr>
          <w:trHeight w:val="315" w:hRule="atLeast"/>
        </w:trPr>
        <w:tc>
          <w:tcPr>
            <w:tcW w:w="62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cs="宋体"/>
                <w:kern w:val="0"/>
                <w:sz w:val="20"/>
                <w:szCs w:val="20"/>
              </w:rPr>
            </w:pPr>
            <w:r>
              <w:rPr>
                <w:rFonts w:hint="eastAsia" w:ascii="宋体" w:hAnsi="宋体" w:cs="宋体"/>
                <w:kern w:val="0"/>
                <w:sz w:val="20"/>
                <w:szCs w:val="20"/>
              </w:rPr>
              <w:t>一级指标</w:t>
            </w:r>
          </w:p>
        </w:tc>
        <w:tc>
          <w:tcPr>
            <w:tcW w:w="62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cs="宋体"/>
                <w:kern w:val="0"/>
                <w:sz w:val="20"/>
                <w:szCs w:val="20"/>
              </w:rPr>
            </w:pPr>
            <w:r>
              <w:rPr>
                <w:rFonts w:hint="eastAsia" w:ascii="宋体" w:hAnsi="宋体" w:cs="宋体"/>
                <w:kern w:val="0"/>
                <w:sz w:val="20"/>
                <w:szCs w:val="20"/>
              </w:rPr>
              <w:t>二级指标</w:t>
            </w:r>
          </w:p>
        </w:tc>
        <w:tc>
          <w:tcPr>
            <w:tcW w:w="880" w:type="dxa"/>
            <w:tcBorders>
              <w:top w:val="single" w:color="auto" w:sz="4" w:space="0"/>
              <w:left w:val="nil"/>
              <w:bottom w:val="single" w:color="auto" w:sz="4" w:space="0"/>
              <w:right w:val="single" w:color="auto" w:sz="4" w:space="0"/>
            </w:tcBorders>
            <w:noWrap w:val="0"/>
            <w:vAlign w:val="center"/>
          </w:tcPr>
          <w:p>
            <w:pPr>
              <w:widowControl/>
              <w:jc w:val="center"/>
              <w:rPr>
                <w:rFonts w:ascii="宋体" w:cs="宋体"/>
                <w:kern w:val="0"/>
                <w:sz w:val="20"/>
                <w:szCs w:val="20"/>
              </w:rPr>
            </w:pPr>
            <w:r>
              <w:rPr>
                <w:rFonts w:hint="eastAsia" w:ascii="宋体" w:hAnsi="宋体" w:cs="宋体"/>
                <w:kern w:val="0"/>
                <w:sz w:val="20"/>
                <w:szCs w:val="20"/>
              </w:rPr>
              <w:t>三级</w:t>
            </w:r>
          </w:p>
        </w:tc>
        <w:tc>
          <w:tcPr>
            <w:tcW w:w="42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cs="宋体"/>
                <w:kern w:val="0"/>
                <w:sz w:val="20"/>
                <w:szCs w:val="20"/>
              </w:rPr>
            </w:pPr>
            <w:r>
              <w:rPr>
                <w:rFonts w:hint="eastAsia" w:ascii="宋体" w:hAnsi="宋体" w:cs="宋体"/>
                <w:kern w:val="0"/>
                <w:sz w:val="20"/>
                <w:szCs w:val="20"/>
              </w:rPr>
              <w:t>分值</w:t>
            </w:r>
          </w:p>
        </w:tc>
        <w:tc>
          <w:tcPr>
            <w:tcW w:w="382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cs="宋体"/>
                <w:kern w:val="0"/>
                <w:sz w:val="20"/>
                <w:szCs w:val="20"/>
              </w:rPr>
            </w:pPr>
            <w:r>
              <w:rPr>
                <w:rFonts w:hint="eastAsia" w:ascii="宋体" w:hAnsi="宋体" w:cs="宋体"/>
                <w:kern w:val="0"/>
                <w:sz w:val="20"/>
                <w:szCs w:val="20"/>
              </w:rPr>
              <w:t>评价标准</w:t>
            </w:r>
          </w:p>
        </w:tc>
        <w:tc>
          <w:tcPr>
            <w:tcW w:w="250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cs="宋体"/>
                <w:kern w:val="0"/>
                <w:sz w:val="20"/>
                <w:szCs w:val="20"/>
              </w:rPr>
            </w:pPr>
            <w:r>
              <w:rPr>
                <w:rFonts w:hint="eastAsia" w:ascii="宋体" w:hAnsi="宋体" w:cs="宋体"/>
                <w:kern w:val="0"/>
                <w:sz w:val="20"/>
                <w:szCs w:val="20"/>
              </w:rPr>
              <w:t>指标说明</w:t>
            </w:r>
          </w:p>
        </w:tc>
        <w:tc>
          <w:tcPr>
            <w:tcW w:w="86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cs="宋体"/>
                <w:kern w:val="0"/>
                <w:sz w:val="20"/>
                <w:szCs w:val="20"/>
              </w:rPr>
            </w:pPr>
            <w:r>
              <w:rPr>
                <w:rFonts w:hint="eastAsia" w:ascii="宋体" w:hAnsi="宋体" w:cs="宋体"/>
                <w:kern w:val="0"/>
                <w:sz w:val="20"/>
                <w:szCs w:val="20"/>
              </w:rPr>
              <w:t>自评得分</w:t>
            </w:r>
          </w:p>
        </w:tc>
      </w:tr>
      <w:tr>
        <w:tblPrEx>
          <w:tblCellMar>
            <w:top w:w="0" w:type="dxa"/>
            <w:left w:w="108" w:type="dxa"/>
            <w:bottom w:w="0" w:type="dxa"/>
            <w:right w:w="108" w:type="dxa"/>
          </w:tblCellMar>
        </w:tblPrEx>
        <w:trPr>
          <w:trHeight w:val="285" w:hRule="atLeast"/>
        </w:trPr>
        <w:tc>
          <w:tcPr>
            <w:tcW w:w="62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cs="宋体"/>
                <w:kern w:val="0"/>
                <w:sz w:val="20"/>
                <w:szCs w:val="20"/>
              </w:rPr>
            </w:pPr>
          </w:p>
        </w:tc>
        <w:tc>
          <w:tcPr>
            <w:tcW w:w="62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cs="宋体"/>
                <w:kern w:val="0"/>
                <w:sz w:val="20"/>
                <w:szCs w:val="20"/>
              </w:rPr>
            </w:pPr>
          </w:p>
        </w:tc>
        <w:tc>
          <w:tcPr>
            <w:tcW w:w="880" w:type="dxa"/>
            <w:tcBorders>
              <w:top w:val="nil"/>
              <w:left w:val="nil"/>
              <w:bottom w:val="single" w:color="auto" w:sz="4" w:space="0"/>
              <w:right w:val="single" w:color="auto" w:sz="4" w:space="0"/>
            </w:tcBorders>
            <w:noWrap w:val="0"/>
            <w:vAlign w:val="center"/>
          </w:tcPr>
          <w:p>
            <w:pPr>
              <w:widowControl/>
              <w:jc w:val="center"/>
              <w:rPr>
                <w:rFonts w:ascii="宋体" w:cs="宋体"/>
                <w:kern w:val="0"/>
                <w:sz w:val="20"/>
                <w:szCs w:val="20"/>
              </w:rPr>
            </w:pPr>
            <w:r>
              <w:rPr>
                <w:rFonts w:hint="eastAsia" w:ascii="宋体" w:hAnsi="宋体" w:cs="宋体"/>
                <w:kern w:val="0"/>
                <w:sz w:val="20"/>
                <w:szCs w:val="20"/>
              </w:rPr>
              <w:t>指标</w:t>
            </w:r>
          </w:p>
        </w:tc>
        <w:tc>
          <w:tcPr>
            <w:tcW w:w="42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cs="宋体"/>
                <w:kern w:val="0"/>
                <w:sz w:val="20"/>
                <w:szCs w:val="20"/>
              </w:rPr>
            </w:pPr>
          </w:p>
        </w:tc>
        <w:tc>
          <w:tcPr>
            <w:tcW w:w="382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cs="宋体"/>
                <w:kern w:val="0"/>
                <w:sz w:val="20"/>
                <w:szCs w:val="20"/>
              </w:rPr>
            </w:pPr>
          </w:p>
        </w:tc>
        <w:tc>
          <w:tcPr>
            <w:tcW w:w="250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cs="宋体"/>
                <w:kern w:val="0"/>
                <w:sz w:val="20"/>
                <w:szCs w:val="20"/>
              </w:rPr>
            </w:pPr>
          </w:p>
        </w:tc>
        <w:tc>
          <w:tcPr>
            <w:tcW w:w="86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cs="宋体"/>
                <w:kern w:val="0"/>
                <w:sz w:val="20"/>
                <w:szCs w:val="20"/>
              </w:rPr>
            </w:pPr>
          </w:p>
        </w:tc>
      </w:tr>
      <w:tr>
        <w:trPr>
          <w:trHeight w:val="522" w:hRule="atLeast"/>
        </w:trPr>
        <w:tc>
          <w:tcPr>
            <w:tcW w:w="620"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ascii="宋体" w:cs="宋体"/>
                <w:kern w:val="0"/>
                <w:sz w:val="20"/>
                <w:szCs w:val="20"/>
              </w:rPr>
            </w:pPr>
            <w:r>
              <w:rPr>
                <w:rFonts w:hint="eastAsia" w:ascii="宋体" w:hAnsi="宋体" w:cs="宋体"/>
                <w:kern w:val="0"/>
                <w:sz w:val="20"/>
                <w:szCs w:val="20"/>
              </w:rPr>
              <w:t>投入</w:t>
            </w:r>
          </w:p>
        </w:tc>
        <w:tc>
          <w:tcPr>
            <w:tcW w:w="620"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ascii="宋体" w:cs="宋体"/>
                <w:kern w:val="0"/>
                <w:sz w:val="20"/>
                <w:szCs w:val="20"/>
              </w:rPr>
            </w:pPr>
            <w:r>
              <w:rPr>
                <w:rFonts w:hint="eastAsia" w:ascii="宋体" w:hAnsi="宋体" w:cs="宋体"/>
                <w:kern w:val="0"/>
                <w:sz w:val="20"/>
                <w:szCs w:val="20"/>
              </w:rPr>
              <w:t>目标设定</w:t>
            </w:r>
          </w:p>
        </w:tc>
        <w:tc>
          <w:tcPr>
            <w:tcW w:w="880" w:type="dxa"/>
            <w:vMerge w:val="restart"/>
            <w:tcBorders>
              <w:top w:val="nil"/>
              <w:left w:val="single" w:color="auto" w:sz="4" w:space="0"/>
              <w:bottom w:val="single" w:color="auto" w:sz="4" w:space="0"/>
              <w:right w:val="single" w:color="auto" w:sz="4" w:space="0"/>
            </w:tcBorders>
            <w:noWrap w:val="0"/>
            <w:vAlign w:val="center"/>
          </w:tcPr>
          <w:p>
            <w:pPr>
              <w:widowControl/>
              <w:jc w:val="left"/>
              <w:rPr>
                <w:rFonts w:ascii="宋体" w:cs="宋体"/>
                <w:kern w:val="0"/>
                <w:sz w:val="20"/>
                <w:szCs w:val="20"/>
              </w:rPr>
            </w:pPr>
            <w:r>
              <w:rPr>
                <w:rFonts w:hint="eastAsia" w:ascii="宋体" w:hAnsi="宋体" w:cs="宋体"/>
                <w:kern w:val="0"/>
                <w:sz w:val="20"/>
                <w:szCs w:val="20"/>
              </w:rPr>
              <w:t>绩效目标合理性</w:t>
            </w:r>
          </w:p>
        </w:tc>
        <w:tc>
          <w:tcPr>
            <w:tcW w:w="420"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ascii="宋体" w:cs="宋体"/>
                <w:kern w:val="0"/>
                <w:sz w:val="20"/>
                <w:szCs w:val="20"/>
              </w:rPr>
            </w:pPr>
            <w:r>
              <w:rPr>
                <w:rFonts w:ascii="宋体" w:hAnsi="宋体" w:cs="宋体"/>
                <w:kern w:val="0"/>
                <w:sz w:val="20"/>
                <w:szCs w:val="20"/>
              </w:rPr>
              <w:t>3</w:t>
            </w:r>
          </w:p>
        </w:tc>
        <w:tc>
          <w:tcPr>
            <w:tcW w:w="3820" w:type="dxa"/>
            <w:vMerge w:val="restart"/>
            <w:tcBorders>
              <w:top w:val="nil"/>
              <w:left w:val="single" w:color="auto" w:sz="4" w:space="0"/>
              <w:bottom w:val="single" w:color="auto" w:sz="4" w:space="0"/>
              <w:right w:val="single" w:color="auto" w:sz="4" w:space="0"/>
            </w:tcBorders>
            <w:noWrap w:val="0"/>
            <w:vAlign w:val="center"/>
          </w:tcPr>
          <w:p>
            <w:pPr>
              <w:widowControl/>
              <w:jc w:val="left"/>
              <w:rPr>
                <w:rFonts w:ascii="宋体" w:cs="宋体"/>
                <w:kern w:val="0"/>
                <w:sz w:val="20"/>
                <w:szCs w:val="20"/>
              </w:rPr>
            </w:pPr>
            <w:r>
              <w:rPr>
                <w:rFonts w:ascii="宋体" w:hAnsi="宋体" w:cs="宋体"/>
                <w:kern w:val="0"/>
                <w:sz w:val="20"/>
                <w:szCs w:val="20"/>
              </w:rPr>
              <w:t xml:space="preserve">  </w:t>
            </w:r>
            <w:r>
              <w:rPr>
                <w:rFonts w:hint="eastAsia" w:ascii="宋体" w:hAnsi="宋体" w:cs="宋体"/>
                <w:kern w:val="0"/>
                <w:sz w:val="20"/>
                <w:szCs w:val="20"/>
              </w:rPr>
              <w:t>部门所设立的整体绩效目标依据是否充分，是否符合客观实际，用以反映和考核部门整体绩效目标与部门履职、年度工作任务的相符性情况。</w:t>
            </w:r>
          </w:p>
        </w:tc>
        <w:tc>
          <w:tcPr>
            <w:tcW w:w="2500" w:type="dxa"/>
            <w:tcBorders>
              <w:top w:val="nil"/>
              <w:left w:val="nil"/>
              <w:bottom w:val="nil"/>
              <w:right w:val="nil"/>
            </w:tcBorders>
            <w:noWrap w:val="0"/>
            <w:vAlign w:val="center"/>
          </w:tcPr>
          <w:p>
            <w:pPr>
              <w:widowControl/>
              <w:jc w:val="left"/>
              <w:rPr>
                <w:rFonts w:ascii="宋体" w:cs="宋体"/>
                <w:kern w:val="0"/>
                <w:sz w:val="20"/>
                <w:szCs w:val="20"/>
              </w:rPr>
            </w:pPr>
            <w:r>
              <w:rPr>
                <w:rFonts w:hint="eastAsia" w:ascii="宋体" w:hAnsi="宋体" w:cs="宋体"/>
                <w:kern w:val="0"/>
                <w:sz w:val="20"/>
                <w:szCs w:val="20"/>
              </w:rPr>
              <w:t>①符合国家法律法规、国民经济和社会发展总体规划，得</w:t>
            </w:r>
            <w:r>
              <w:rPr>
                <w:rFonts w:ascii="宋体" w:hAnsi="宋体" w:cs="宋体"/>
                <w:kern w:val="0"/>
                <w:sz w:val="20"/>
                <w:szCs w:val="20"/>
              </w:rPr>
              <w:t>1</w:t>
            </w:r>
            <w:r>
              <w:rPr>
                <w:rFonts w:hint="eastAsia" w:ascii="宋体" w:hAnsi="宋体" w:cs="宋体"/>
                <w:kern w:val="0"/>
                <w:sz w:val="20"/>
                <w:szCs w:val="20"/>
              </w:rPr>
              <w:t>分；</w:t>
            </w:r>
            <w:r>
              <w:rPr>
                <w:rFonts w:ascii="宋体" w:hAnsi="宋体" w:cs="宋体"/>
                <w:kern w:val="0"/>
                <w:sz w:val="20"/>
                <w:szCs w:val="20"/>
              </w:rPr>
              <w:t xml:space="preserve">             </w:t>
            </w:r>
          </w:p>
        </w:tc>
        <w:tc>
          <w:tcPr>
            <w:tcW w:w="860"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ascii="宋体" w:cs="宋体"/>
                <w:kern w:val="0"/>
                <w:sz w:val="24"/>
                <w:szCs w:val="24"/>
              </w:rPr>
            </w:pPr>
            <w:r>
              <w:rPr>
                <w:rFonts w:ascii="宋体" w:hAnsi="宋体" w:cs="宋体"/>
                <w:kern w:val="0"/>
                <w:sz w:val="24"/>
                <w:szCs w:val="24"/>
              </w:rPr>
              <w:t>3</w:t>
            </w:r>
          </w:p>
        </w:tc>
      </w:tr>
      <w:tr>
        <w:tblPrEx>
          <w:tblCellMar>
            <w:top w:w="0" w:type="dxa"/>
            <w:left w:w="108" w:type="dxa"/>
            <w:bottom w:w="0" w:type="dxa"/>
            <w:right w:w="108" w:type="dxa"/>
          </w:tblCellMar>
        </w:tblPrEx>
        <w:trPr>
          <w:trHeight w:val="495" w:hRule="atLeast"/>
        </w:trPr>
        <w:tc>
          <w:tcPr>
            <w:tcW w:w="62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cs="宋体"/>
                <w:kern w:val="0"/>
                <w:sz w:val="20"/>
                <w:szCs w:val="20"/>
              </w:rPr>
            </w:pPr>
          </w:p>
        </w:tc>
        <w:tc>
          <w:tcPr>
            <w:tcW w:w="62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cs="宋体"/>
                <w:kern w:val="0"/>
                <w:sz w:val="20"/>
                <w:szCs w:val="20"/>
              </w:rPr>
            </w:pPr>
          </w:p>
        </w:tc>
        <w:tc>
          <w:tcPr>
            <w:tcW w:w="88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cs="宋体"/>
                <w:kern w:val="0"/>
                <w:sz w:val="20"/>
                <w:szCs w:val="20"/>
              </w:rPr>
            </w:pPr>
          </w:p>
        </w:tc>
        <w:tc>
          <w:tcPr>
            <w:tcW w:w="42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cs="宋体"/>
                <w:kern w:val="0"/>
                <w:sz w:val="20"/>
                <w:szCs w:val="20"/>
              </w:rPr>
            </w:pPr>
          </w:p>
        </w:tc>
        <w:tc>
          <w:tcPr>
            <w:tcW w:w="382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cs="宋体"/>
                <w:kern w:val="0"/>
                <w:sz w:val="20"/>
                <w:szCs w:val="20"/>
              </w:rPr>
            </w:pPr>
          </w:p>
        </w:tc>
        <w:tc>
          <w:tcPr>
            <w:tcW w:w="2500" w:type="dxa"/>
            <w:tcBorders>
              <w:top w:val="nil"/>
              <w:left w:val="nil"/>
              <w:bottom w:val="nil"/>
              <w:right w:val="nil"/>
            </w:tcBorders>
            <w:noWrap w:val="0"/>
            <w:vAlign w:val="center"/>
          </w:tcPr>
          <w:p>
            <w:pPr>
              <w:widowControl/>
              <w:jc w:val="left"/>
              <w:rPr>
                <w:rFonts w:ascii="宋体" w:cs="宋体"/>
                <w:kern w:val="0"/>
                <w:sz w:val="20"/>
                <w:szCs w:val="20"/>
              </w:rPr>
            </w:pPr>
            <w:r>
              <w:rPr>
                <w:rFonts w:hint="eastAsia" w:ascii="宋体" w:hAnsi="宋体" w:cs="宋体"/>
                <w:kern w:val="0"/>
                <w:sz w:val="20"/>
                <w:szCs w:val="20"/>
              </w:rPr>
              <w:t>②符合部门“三定”方案确定的职责，得</w:t>
            </w:r>
            <w:r>
              <w:rPr>
                <w:rFonts w:ascii="宋体" w:hAnsi="宋体" w:cs="宋体"/>
                <w:kern w:val="0"/>
                <w:sz w:val="20"/>
                <w:szCs w:val="20"/>
              </w:rPr>
              <w:t>1</w:t>
            </w:r>
            <w:r>
              <w:rPr>
                <w:rFonts w:hint="eastAsia" w:ascii="宋体" w:hAnsi="宋体" w:cs="宋体"/>
                <w:kern w:val="0"/>
                <w:sz w:val="20"/>
                <w:szCs w:val="20"/>
              </w:rPr>
              <w:t>分；</w:t>
            </w:r>
          </w:p>
        </w:tc>
        <w:tc>
          <w:tcPr>
            <w:tcW w:w="86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cs="宋体"/>
                <w:kern w:val="0"/>
                <w:sz w:val="24"/>
                <w:szCs w:val="24"/>
              </w:rPr>
            </w:pPr>
          </w:p>
        </w:tc>
      </w:tr>
      <w:tr>
        <w:tblPrEx>
          <w:tblCellMar>
            <w:top w:w="0" w:type="dxa"/>
            <w:left w:w="108" w:type="dxa"/>
            <w:bottom w:w="0" w:type="dxa"/>
            <w:right w:w="108" w:type="dxa"/>
          </w:tblCellMar>
        </w:tblPrEx>
        <w:trPr>
          <w:trHeight w:val="675" w:hRule="atLeast"/>
        </w:trPr>
        <w:tc>
          <w:tcPr>
            <w:tcW w:w="62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cs="宋体"/>
                <w:kern w:val="0"/>
                <w:sz w:val="20"/>
                <w:szCs w:val="20"/>
              </w:rPr>
            </w:pPr>
          </w:p>
        </w:tc>
        <w:tc>
          <w:tcPr>
            <w:tcW w:w="62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cs="宋体"/>
                <w:kern w:val="0"/>
                <w:sz w:val="20"/>
                <w:szCs w:val="20"/>
              </w:rPr>
            </w:pPr>
          </w:p>
        </w:tc>
        <w:tc>
          <w:tcPr>
            <w:tcW w:w="88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cs="宋体"/>
                <w:kern w:val="0"/>
                <w:sz w:val="20"/>
                <w:szCs w:val="20"/>
              </w:rPr>
            </w:pPr>
          </w:p>
        </w:tc>
        <w:tc>
          <w:tcPr>
            <w:tcW w:w="42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cs="宋体"/>
                <w:kern w:val="0"/>
                <w:sz w:val="20"/>
                <w:szCs w:val="20"/>
              </w:rPr>
            </w:pPr>
          </w:p>
        </w:tc>
        <w:tc>
          <w:tcPr>
            <w:tcW w:w="382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cs="宋体"/>
                <w:kern w:val="0"/>
                <w:sz w:val="20"/>
                <w:szCs w:val="20"/>
              </w:rPr>
            </w:pPr>
          </w:p>
        </w:tc>
        <w:tc>
          <w:tcPr>
            <w:tcW w:w="2500" w:type="dxa"/>
            <w:tcBorders>
              <w:top w:val="nil"/>
              <w:left w:val="nil"/>
              <w:bottom w:val="single" w:color="auto" w:sz="4" w:space="0"/>
              <w:right w:val="nil"/>
            </w:tcBorders>
            <w:noWrap w:val="0"/>
            <w:vAlign w:val="center"/>
          </w:tcPr>
          <w:p>
            <w:pPr>
              <w:widowControl/>
              <w:jc w:val="left"/>
              <w:rPr>
                <w:rFonts w:ascii="宋体" w:cs="宋体"/>
                <w:kern w:val="0"/>
                <w:sz w:val="20"/>
                <w:szCs w:val="20"/>
              </w:rPr>
            </w:pPr>
            <w:r>
              <w:rPr>
                <w:rFonts w:hint="eastAsia" w:ascii="宋体" w:hAnsi="宋体" w:cs="宋体"/>
                <w:kern w:val="0"/>
                <w:sz w:val="20"/>
                <w:szCs w:val="20"/>
              </w:rPr>
              <w:t>③符合部门制定的中长期实施规划，得</w:t>
            </w:r>
            <w:r>
              <w:rPr>
                <w:rFonts w:ascii="宋体" w:hAnsi="宋体" w:cs="宋体"/>
                <w:kern w:val="0"/>
                <w:sz w:val="20"/>
                <w:szCs w:val="20"/>
              </w:rPr>
              <w:t>1</w:t>
            </w:r>
            <w:r>
              <w:rPr>
                <w:rFonts w:hint="eastAsia" w:ascii="宋体" w:hAnsi="宋体" w:cs="宋体"/>
                <w:kern w:val="0"/>
                <w:sz w:val="20"/>
                <w:szCs w:val="20"/>
              </w:rPr>
              <w:t>分。</w:t>
            </w:r>
          </w:p>
        </w:tc>
        <w:tc>
          <w:tcPr>
            <w:tcW w:w="86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cs="宋体"/>
                <w:kern w:val="0"/>
                <w:sz w:val="24"/>
                <w:szCs w:val="24"/>
              </w:rPr>
            </w:pPr>
          </w:p>
        </w:tc>
      </w:tr>
      <w:tr>
        <w:tblPrEx>
          <w:tblCellMar>
            <w:top w:w="0" w:type="dxa"/>
            <w:left w:w="108" w:type="dxa"/>
            <w:bottom w:w="0" w:type="dxa"/>
            <w:right w:w="108" w:type="dxa"/>
          </w:tblCellMar>
        </w:tblPrEx>
        <w:trPr>
          <w:trHeight w:val="559" w:hRule="atLeast"/>
        </w:trPr>
        <w:tc>
          <w:tcPr>
            <w:tcW w:w="62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cs="宋体"/>
                <w:kern w:val="0"/>
                <w:sz w:val="20"/>
                <w:szCs w:val="20"/>
              </w:rPr>
            </w:pPr>
          </w:p>
        </w:tc>
        <w:tc>
          <w:tcPr>
            <w:tcW w:w="62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cs="宋体"/>
                <w:kern w:val="0"/>
                <w:sz w:val="20"/>
                <w:szCs w:val="20"/>
              </w:rPr>
            </w:pPr>
          </w:p>
        </w:tc>
        <w:tc>
          <w:tcPr>
            <w:tcW w:w="880" w:type="dxa"/>
            <w:vMerge w:val="restart"/>
            <w:tcBorders>
              <w:top w:val="nil"/>
              <w:left w:val="single" w:color="auto" w:sz="4" w:space="0"/>
              <w:bottom w:val="single" w:color="auto" w:sz="4" w:space="0"/>
              <w:right w:val="single" w:color="auto" w:sz="4" w:space="0"/>
            </w:tcBorders>
            <w:noWrap w:val="0"/>
            <w:vAlign w:val="center"/>
          </w:tcPr>
          <w:p>
            <w:pPr>
              <w:widowControl/>
              <w:jc w:val="left"/>
              <w:rPr>
                <w:rFonts w:ascii="宋体" w:cs="宋体"/>
                <w:kern w:val="0"/>
                <w:sz w:val="20"/>
                <w:szCs w:val="20"/>
              </w:rPr>
            </w:pPr>
            <w:r>
              <w:rPr>
                <w:rFonts w:hint="eastAsia" w:ascii="宋体" w:hAnsi="宋体" w:cs="宋体"/>
                <w:kern w:val="0"/>
                <w:sz w:val="20"/>
                <w:szCs w:val="20"/>
              </w:rPr>
              <w:t>绩效指标明确性</w:t>
            </w:r>
          </w:p>
        </w:tc>
        <w:tc>
          <w:tcPr>
            <w:tcW w:w="420"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ascii="宋体" w:cs="宋体"/>
                <w:kern w:val="0"/>
                <w:sz w:val="20"/>
                <w:szCs w:val="20"/>
              </w:rPr>
            </w:pPr>
            <w:r>
              <w:rPr>
                <w:rFonts w:ascii="宋体" w:hAnsi="宋体" w:cs="宋体"/>
                <w:kern w:val="0"/>
                <w:sz w:val="20"/>
                <w:szCs w:val="20"/>
              </w:rPr>
              <w:t>7</w:t>
            </w:r>
          </w:p>
        </w:tc>
        <w:tc>
          <w:tcPr>
            <w:tcW w:w="3820" w:type="dxa"/>
            <w:vMerge w:val="restart"/>
            <w:tcBorders>
              <w:top w:val="nil"/>
              <w:left w:val="single" w:color="auto" w:sz="4" w:space="0"/>
              <w:bottom w:val="single" w:color="auto" w:sz="4" w:space="0"/>
              <w:right w:val="single" w:color="auto" w:sz="4" w:space="0"/>
            </w:tcBorders>
            <w:noWrap w:val="0"/>
            <w:vAlign w:val="center"/>
          </w:tcPr>
          <w:p>
            <w:pPr>
              <w:widowControl/>
              <w:jc w:val="left"/>
              <w:rPr>
                <w:rFonts w:ascii="宋体" w:cs="宋体"/>
                <w:kern w:val="0"/>
                <w:sz w:val="20"/>
                <w:szCs w:val="20"/>
              </w:rPr>
            </w:pPr>
            <w:r>
              <w:rPr>
                <w:rFonts w:ascii="宋体" w:hAnsi="宋体" w:cs="宋体"/>
                <w:kern w:val="0"/>
                <w:sz w:val="20"/>
                <w:szCs w:val="20"/>
              </w:rPr>
              <w:t xml:space="preserve">  </w:t>
            </w:r>
            <w:r>
              <w:rPr>
                <w:rFonts w:hint="eastAsia" w:ascii="宋体" w:hAnsi="宋体" w:cs="宋体"/>
                <w:kern w:val="0"/>
                <w:sz w:val="20"/>
                <w:szCs w:val="20"/>
              </w:rPr>
              <w:t>部门依据整体绩效目标所设定的绩效指标是否清晰、细化、可衡量，用以反映和考核部门整体绩效目标的明细化情况。</w:t>
            </w:r>
          </w:p>
        </w:tc>
        <w:tc>
          <w:tcPr>
            <w:tcW w:w="2500" w:type="dxa"/>
            <w:tcBorders>
              <w:top w:val="nil"/>
              <w:left w:val="nil"/>
              <w:bottom w:val="nil"/>
              <w:right w:val="nil"/>
            </w:tcBorders>
            <w:noWrap w:val="0"/>
            <w:vAlign w:val="center"/>
          </w:tcPr>
          <w:p>
            <w:pPr>
              <w:widowControl/>
              <w:jc w:val="left"/>
              <w:rPr>
                <w:rFonts w:ascii="宋体" w:cs="宋体"/>
                <w:kern w:val="0"/>
                <w:sz w:val="20"/>
                <w:szCs w:val="20"/>
              </w:rPr>
            </w:pPr>
            <w:r>
              <w:rPr>
                <w:rFonts w:hint="eastAsia" w:ascii="宋体" w:hAnsi="宋体" w:cs="宋体"/>
                <w:kern w:val="0"/>
                <w:sz w:val="20"/>
                <w:szCs w:val="20"/>
              </w:rPr>
              <w:t>①将部门整体的绩效目标细化分解为具体的工作任务，得</w:t>
            </w:r>
            <w:r>
              <w:rPr>
                <w:rFonts w:ascii="宋体" w:hAnsi="宋体" w:cs="宋体"/>
                <w:kern w:val="0"/>
                <w:sz w:val="20"/>
                <w:szCs w:val="20"/>
              </w:rPr>
              <w:t>1</w:t>
            </w:r>
            <w:r>
              <w:rPr>
                <w:rFonts w:hint="eastAsia" w:ascii="宋体" w:hAnsi="宋体" w:cs="宋体"/>
                <w:kern w:val="0"/>
                <w:sz w:val="20"/>
                <w:szCs w:val="20"/>
              </w:rPr>
              <w:t>分；</w:t>
            </w:r>
            <w:r>
              <w:rPr>
                <w:rFonts w:ascii="宋体" w:hAnsi="宋体" w:cs="宋体"/>
                <w:kern w:val="0"/>
                <w:sz w:val="20"/>
                <w:szCs w:val="20"/>
              </w:rPr>
              <w:t xml:space="preserve">                                 </w:t>
            </w:r>
          </w:p>
        </w:tc>
        <w:tc>
          <w:tcPr>
            <w:tcW w:w="860"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ascii="宋体" w:cs="宋体"/>
                <w:kern w:val="0"/>
                <w:sz w:val="24"/>
                <w:szCs w:val="24"/>
              </w:rPr>
            </w:pPr>
            <w:r>
              <w:rPr>
                <w:rFonts w:ascii="宋体" w:hAnsi="宋体" w:cs="宋体"/>
                <w:kern w:val="0"/>
                <w:sz w:val="24"/>
                <w:szCs w:val="24"/>
              </w:rPr>
              <w:t>7</w:t>
            </w:r>
          </w:p>
        </w:tc>
      </w:tr>
      <w:tr>
        <w:trPr>
          <w:trHeight w:val="510" w:hRule="atLeast"/>
        </w:trPr>
        <w:tc>
          <w:tcPr>
            <w:tcW w:w="62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cs="宋体"/>
                <w:kern w:val="0"/>
                <w:sz w:val="20"/>
                <w:szCs w:val="20"/>
              </w:rPr>
            </w:pPr>
          </w:p>
        </w:tc>
        <w:tc>
          <w:tcPr>
            <w:tcW w:w="62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cs="宋体"/>
                <w:kern w:val="0"/>
                <w:sz w:val="20"/>
                <w:szCs w:val="20"/>
              </w:rPr>
            </w:pPr>
          </w:p>
        </w:tc>
        <w:tc>
          <w:tcPr>
            <w:tcW w:w="88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cs="宋体"/>
                <w:kern w:val="0"/>
                <w:sz w:val="20"/>
                <w:szCs w:val="20"/>
              </w:rPr>
            </w:pPr>
          </w:p>
        </w:tc>
        <w:tc>
          <w:tcPr>
            <w:tcW w:w="42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cs="宋体"/>
                <w:kern w:val="0"/>
                <w:sz w:val="20"/>
                <w:szCs w:val="20"/>
              </w:rPr>
            </w:pPr>
          </w:p>
        </w:tc>
        <w:tc>
          <w:tcPr>
            <w:tcW w:w="382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cs="宋体"/>
                <w:kern w:val="0"/>
                <w:sz w:val="20"/>
                <w:szCs w:val="20"/>
              </w:rPr>
            </w:pPr>
          </w:p>
        </w:tc>
        <w:tc>
          <w:tcPr>
            <w:tcW w:w="2500" w:type="dxa"/>
            <w:tcBorders>
              <w:top w:val="nil"/>
              <w:left w:val="nil"/>
              <w:bottom w:val="nil"/>
              <w:right w:val="nil"/>
            </w:tcBorders>
            <w:noWrap w:val="0"/>
            <w:vAlign w:val="center"/>
          </w:tcPr>
          <w:p>
            <w:pPr>
              <w:widowControl/>
              <w:jc w:val="left"/>
              <w:rPr>
                <w:rFonts w:ascii="宋体" w:cs="宋体"/>
                <w:kern w:val="0"/>
                <w:sz w:val="20"/>
                <w:szCs w:val="20"/>
              </w:rPr>
            </w:pPr>
            <w:r>
              <w:rPr>
                <w:rFonts w:hint="eastAsia" w:ascii="宋体" w:hAnsi="宋体" w:cs="宋体"/>
                <w:kern w:val="0"/>
                <w:sz w:val="20"/>
                <w:szCs w:val="20"/>
              </w:rPr>
              <w:t>②通过清晰、可衡量的指标值予以体现，得</w:t>
            </w:r>
            <w:r>
              <w:rPr>
                <w:rFonts w:ascii="宋体" w:hAnsi="宋体" w:cs="宋体"/>
                <w:kern w:val="0"/>
                <w:sz w:val="20"/>
                <w:szCs w:val="20"/>
              </w:rPr>
              <w:t>2</w:t>
            </w:r>
            <w:r>
              <w:rPr>
                <w:rFonts w:hint="eastAsia" w:ascii="宋体" w:hAnsi="宋体" w:cs="宋体"/>
                <w:kern w:val="0"/>
                <w:sz w:val="20"/>
                <w:szCs w:val="20"/>
              </w:rPr>
              <w:t>分；</w:t>
            </w:r>
            <w:r>
              <w:rPr>
                <w:rFonts w:ascii="宋体" w:hAnsi="宋体" w:cs="宋体"/>
                <w:kern w:val="0"/>
                <w:sz w:val="20"/>
                <w:szCs w:val="20"/>
              </w:rPr>
              <w:t xml:space="preserve"> </w:t>
            </w:r>
          </w:p>
        </w:tc>
        <w:tc>
          <w:tcPr>
            <w:tcW w:w="86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cs="宋体"/>
                <w:kern w:val="0"/>
                <w:sz w:val="24"/>
                <w:szCs w:val="24"/>
              </w:rPr>
            </w:pPr>
          </w:p>
        </w:tc>
      </w:tr>
      <w:tr>
        <w:tblPrEx>
          <w:tblCellMar>
            <w:top w:w="0" w:type="dxa"/>
            <w:left w:w="108" w:type="dxa"/>
            <w:bottom w:w="0" w:type="dxa"/>
            <w:right w:w="108" w:type="dxa"/>
          </w:tblCellMar>
        </w:tblPrEx>
        <w:trPr>
          <w:trHeight w:val="495" w:hRule="atLeast"/>
        </w:trPr>
        <w:tc>
          <w:tcPr>
            <w:tcW w:w="62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cs="宋体"/>
                <w:kern w:val="0"/>
                <w:sz w:val="20"/>
                <w:szCs w:val="20"/>
              </w:rPr>
            </w:pPr>
          </w:p>
        </w:tc>
        <w:tc>
          <w:tcPr>
            <w:tcW w:w="62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cs="宋体"/>
                <w:kern w:val="0"/>
                <w:sz w:val="20"/>
                <w:szCs w:val="20"/>
              </w:rPr>
            </w:pPr>
          </w:p>
        </w:tc>
        <w:tc>
          <w:tcPr>
            <w:tcW w:w="88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cs="宋体"/>
                <w:kern w:val="0"/>
                <w:sz w:val="20"/>
                <w:szCs w:val="20"/>
              </w:rPr>
            </w:pPr>
          </w:p>
        </w:tc>
        <w:tc>
          <w:tcPr>
            <w:tcW w:w="42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cs="宋体"/>
                <w:kern w:val="0"/>
                <w:sz w:val="20"/>
                <w:szCs w:val="20"/>
              </w:rPr>
            </w:pPr>
          </w:p>
        </w:tc>
        <w:tc>
          <w:tcPr>
            <w:tcW w:w="382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cs="宋体"/>
                <w:kern w:val="0"/>
                <w:sz w:val="20"/>
                <w:szCs w:val="20"/>
              </w:rPr>
            </w:pPr>
          </w:p>
        </w:tc>
        <w:tc>
          <w:tcPr>
            <w:tcW w:w="2500" w:type="dxa"/>
            <w:tcBorders>
              <w:top w:val="nil"/>
              <w:left w:val="nil"/>
              <w:bottom w:val="nil"/>
              <w:right w:val="nil"/>
            </w:tcBorders>
            <w:noWrap w:val="0"/>
            <w:vAlign w:val="center"/>
          </w:tcPr>
          <w:p>
            <w:pPr>
              <w:widowControl/>
              <w:jc w:val="left"/>
              <w:rPr>
                <w:rFonts w:ascii="宋体" w:cs="宋体"/>
                <w:kern w:val="0"/>
                <w:sz w:val="20"/>
                <w:szCs w:val="20"/>
              </w:rPr>
            </w:pPr>
            <w:r>
              <w:rPr>
                <w:rFonts w:hint="eastAsia" w:ascii="宋体" w:hAnsi="宋体" w:cs="宋体"/>
                <w:kern w:val="0"/>
                <w:sz w:val="20"/>
                <w:szCs w:val="20"/>
              </w:rPr>
              <w:t>③与部门年度的任务数或计划数相对应，得</w:t>
            </w:r>
            <w:r>
              <w:rPr>
                <w:rFonts w:ascii="宋体" w:hAnsi="宋体" w:cs="宋体"/>
                <w:kern w:val="0"/>
                <w:sz w:val="20"/>
                <w:szCs w:val="20"/>
              </w:rPr>
              <w:t>2</w:t>
            </w:r>
            <w:r>
              <w:rPr>
                <w:rFonts w:hint="eastAsia" w:ascii="宋体" w:hAnsi="宋体" w:cs="宋体"/>
                <w:kern w:val="0"/>
                <w:sz w:val="20"/>
                <w:szCs w:val="20"/>
              </w:rPr>
              <w:t>分；</w:t>
            </w:r>
            <w:r>
              <w:rPr>
                <w:rFonts w:ascii="宋体" w:hAnsi="宋体" w:cs="宋体"/>
                <w:kern w:val="0"/>
                <w:sz w:val="20"/>
                <w:szCs w:val="20"/>
              </w:rPr>
              <w:t xml:space="preserve">  </w:t>
            </w:r>
          </w:p>
        </w:tc>
        <w:tc>
          <w:tcPr>
            <w:tcW w:w="86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cs="宋体"/>
                <w:kern w:val="0"/>
                <w:sz w:val="24"/>
                <w:szCs w:val="24"/>
              </w:rPr>
            </w:pPr>
          </w:p>
        </w:tc>
      </w:tr>
      <w:tr>
        <w:tblPrEx>
          <w:tblCellMar>
            <w:top w:w="0" w:type="dxa"/>
            <w:left w:w="108" w:type="dxa"/>
            <w:bottom w:w="0" w:type="dxa"/>
            <w:right w:w="108" w:type="dxa"/>
          </w:tblCellMar>
        </w:tblPrEx>
        <w:trPr>
          <w:trHeight w:val="555" w:hRule="atLeast"/>
        </w:trPr>
        <w:tc>
          <w:tcPr>
            <w:tcW w:w="62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cs="宋体"/>
                <w:kern w:val="0"/>
                <w:sz w:val="20"/>
                <w:szCs w:val="20"/>
              </w:rPr>
            </w:pPr>
          </w:p>
        </w:tc>
        <w:tc>
          <w:tcPr>
            <w:tcW w:w="62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cs="宋体"/>
                <w:kern w:val="0"/>
                <w:sz w:val="20"/>
                <w:szCs w:val="20"/>
              </w:rPr>
            </w:pPr>
          </w:p>
        </w:tc>
        <w:tc>
          <w:tcPr>
            <w:tcW w:w="88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cs="宋体"/>
                <w:kern w:val="0"/>
                <w:sz w:val="20"/>
                <w:szCs w:val="20"/>
              </w:rPr>
            </w:pPr>
          </w:p>
        </w:tc>
        <w:tc>
          <w:tcPr>
            <w:tcW w:w="42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cs="宋体"/>
                <w:kern w:val="0"/>
                <w:sz w:val="20"/>
                <w:szCs w:val="20"/>
              </w:rPr>
            </w:pPr>
          </w:p>
        </w:tc>
        <w:tc>
          <w:tcPr>
            <w:tcW w:w="382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cs="宋体"/>
                <w:kern w:val="0"/>
                <w:sz w:val="20"/>
                <w:szCs w:val="20"/>
              </w:rPr>
            </w:pPr>
          </w:p>
        </w:tc>
        <w:tc>
          <w:tcPr>
            <w:tcW w:w="2500" w:type="dxa"/>
            <w:tcBorders>
              <w:top w:val="nil"/>
              <w:left w:val="nil"/>
              <w:bottom w:val="single" w:color="auto" w:sz="4" w:space="0"/>
              <w:right w:val="nil"/>
            </w:tcBorders>
            <w:noWrap w:val="0"/>
            <w:vAlign w:val="center"/>
          </w:tcPr>
          <w:p>
            <w:pPr>
              <w:widowControl/>
              <w:jc w:val="left"/>
              <w:rPr>
                <w:rFonts w:ascii="宋体" w:cs="宋体"/>
                <w:kern w:val="0"/>
                <w:sz w:val="20"/>
                <w:szCs w:val="20"/>
              </w:rPr>
            </w:pPr>
            <w:r>
              <w:rPr>
                <w:rFonts w:hint="eastAsia" w:ascii="宋体" w:hAnsi="宋体" w:cs="宋体"/>
                <w:kern w:val="0"/>
                <w:sz w:val="20"/>
                <w:szCs w:val="20"/>
              </w:rPr>
              <w:t>④与本年度部门预算资金相匹配，得</w:t>
            </w:r>
            <w:r>
              <w:rPr>
                <w:rFonts w:ascii="宋体" w:hAnsi="宋体" w:cs="宋体"/>
                <w:kern w:val="0"/>
                <w:sz w:val="20"/>
                <w:szCs w:val="20"/>
              </w:rPr>
              <w:t>2</w:t>
            </w:r>
            <w:r>
              <w:rPr>
                <w:rFonts w:hint="eastAsia" w:ascii="宋体" w:hAnsi="宋体" w:cs="宋体"/>
                <w:kern w:val="0"/>
                <w:sz w:val="20"/>
                <w:szCs w:val="20"/>
              </w:rPr>
              <w:t>分。</w:t>
            </w:r>
          </w:p>
        </w:tc>
        <w:tc>
          <w:tcPr>
            <w:tcW w:w="86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cs="宋体"/>
                <w:kern w:val="0"/>
                <w:sz w:val="24"/>
                <w:szCs w:val="24"/>
              </w:rPr>
            </w:pPr>
          </w:p>
        </w:tc>
      </w:tr>
      <w:tr>
        <w:tblPrEx>
          <w:tblCellMar>
            <w:top w:w="0" w:type="dxa"/>
            <w:left w:w="108" w:type="dxa"/>
            <w:bottom w:w="0" w:type="dxa"/>
            <w:right w:w="108" w:type="dxa"/>
          </w:tblCellMar>
        </w:tblPrEx>
        <w:trPr>
          <w:trHeight w:val="720" w:hRule="atLeast"/>
        </w:trPr>
        <w:tc>
          <w:tcPr>
            <w:tcW w:w="62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cs="宋体"/>
                <w:kern w:val="0"/>
                <w:sz w:val="20"/>
                <w:szCs w:val="20"/>
              </w:rPr>
            </w:pPr>
          </w:p>
        </w:tc>
        <w:tc>
          <w:tcPr>
            <w:tcW w:w="620" w:type="dxa"/>
            <w:vMerge w:val="restart"/>
            <w:tcBorders>
              <w:top w:val="nil"/>
              <w:left w:val="single" w:color="auto" w:sz="4" w:space="0"/>
              <w:bottom w:val="single" w:color="000000" w:sz="4" w:space="0"/>
              <w:right w:val="single" w:color="auto" w:sz="4" w:space="0"/>
            </w:tcBorders>
            <w:noWrap w:val="0"/>
            <w:vAlign w:val="center"/>
          </w:tcPr>
          <w:p>
            <w:pPr>
              <w:widowControl/>
              <w:jc w:val="center"/>
              <w:rPr>
                <w:rFonts w:ascii="宋体" w:cs="宋体"/>
                <w:kern w:val="0"/>
                <w:sz w:val="20"/>
                <w:szCs w:val="20"/>
              </w:rPr>
            </w:pPr>
            <w:r>
              <w:rPr>
                <w:rFonts w:hint="eastAsia" w:ascii="宋体" w:hAnsi="宋体" w:cs="宋体"/>
                <w:kern w:val="0"/>
                <w:sz w:val="20"/>
                <w:szCs w:val="20"/>
              </w:rPr>
              <w:t>预算配置</w:t>
            </w:r>
          </w:p>
        </w:tc>
        <w:tc>
          <w:tcPr>
            <w:tcW w:w="880" w:type="dxa"/>
            <w:vMerge w:val="restart"/>
            <w:tcBorders>
              <w:top w:val="nil"/>
              <w:left w:val="single" w:color="auto" w:sz="4" w:space="0"/>
              <w:bottom w:val="single" w:color="000000" w:sz="4" w:space="0"/>
              <w:right w:val="single" w:color="auto" w:sz="4" w:space="0"/>
            </w:tcBorders>
            <w:noWrap w:val="0"/>
            <w:vAlign w:val="center"/>
          </w:tcPr>
          <w:p>
            <w:pPr>
              <w:widowControl/>
              <w:jc w:val="center"/>
              <w:rPr>
                <w:rFonts w:ascii="宋体" w:cs="宋体"/>
                <w:kern w:val="0"/>
                <w:sz w:val="20"/>
                <w:szCs w:val="20"/>
              </w:rPr>
            </w:pPr>
            <w:r>
              <w:rPr>
                <w:rFonts w:hint="eastAsia" w:ascii="宋体" w:hAnsi="宋体" w:cs="宋体"/>
                <w:kern w:val="0"/>
                <w:sz w:val="20"/>
                <w:szCs w:val="20"/>
              </w:rPr>
              <w:t>在职人员控制率</w:t>
            </w:r>
          </w:p>
        </w:tc>
        <w:tc>
          <w:tcPr>
            <w:tcW w:w="420" w:type="dxa"/>
            <w:vMerge w:val="restart"/>
            <w:tcBorders>
              <w:top w:val="nil"/>
              <w:left w:val="single" w:color="auto" w:sz="4" w:space="0"/>
              <w:bottom w:val="single" w:color="000000" w:sz="4" w:space="0"/>
              <w:right w:val="single" w:color="auto" w:sz="4" w:space="0"/>
            </w:tcBorders>
            <w:noWrap w:val="0"/>
            <w:vAlign w:val="center"/>
          </w:tcPr>
          <w:p>
            <w:pPr>
              <w:widowControl/>
              <w:jc w:val="center"/>
              <w:rPr>
                <w:rFonts w:ascii="宋体" w:cs="宋体"/>
                <w:kern w:val="0"/>
                <w:sz w:val="20"/>
                <w:szCs w:val="20"/>
              </w:rPr>
            </w:pPr>
            <w:r>
              <w:rPr>
                <w:rFonts w:ascii="宋体" w:hAnsi="宋体" w:cs="宋体"/>
                <w:kern w:val="0"/>
                <w:sz w:val="20"/>
                <w:szCs w:val="20"/>
              </w:rPr>
              <w:t>1</w:t>
            </w:r>
          </w:p>
        </w:tc>
        <w:tc>
          <w:tcPr>
            <w:tcW w:w="3820" w:type="dxa"/>
            <w:tcBorders>
              <w:top w:val="nil"/>
              <w:left w:val="nil"/>
              <w:bottom w:val="nil"/>
              <w:right w:val="single" w:color="auto" w:sz="4" w:space="0"/>
            </w:tcBorders>
            <w:noWrap w:val="0"/>
            <w:vAlign w:val="center"/>
          </w:tcPr>
          <w:p>
            <w:pPr>
              <w:widowControl/>
              <w:jc w:val="left"/>
              <w:rPr>
                <w:rFonts w:ascii="宋体" w:cs="宋体"/>
                <w:kern w:val="0"/>
                <w:sz w:val="20"/>
                <w:szCs w:val="20"/>
              </w:rPr>
            </w:pPr>
            <w:r>
              <w:rPr>
                <w:rFonts w:ascii="宋体" w:hAnsi="宋体" w:cs="宋体"/>
                <w:kern w:val="0"/>
                <w:sz w:val="20"/>
                <w:szCs w:val="20"/>
              </w:rPr>
              <w:t xml:space="preserve">  </w:t>
            </w:r>
            <w:r>
              <w:rPr>
                <w:rFonts w:hint="eastAsia" w:ascii="宋体" w:hAnsi="宋体" w:cs="宋体"/>
                <w:kern w:val="0"/>
                <w:sz w:val="20"/>
                <w:szCs w:val="20"/>
              </w:rPr>
              <w:t>部门本年度实际在职人员数与编制数的比率，用以反映和考核部门对人员成本的控制程度。</w:t>
            </w:r>
          </w:p>
        </w:tc>
        <w:tc>
          <w:tcPr>
            <w:tcW w:w="2500" w:type="dxa"/>
            <w:vMerge w:val="restart"/>
            <w:tcBorders>
              <w:top w:val="nil"/>
              <w:left w:val="single" w:color="auto" w:sz="4" w:space="0"/>
              <w:bottom w:val="single" w:color="000000" w:sz="4" w:space="0"/>
              <w:right w:val="nil"/>
            </w:tcBorders>
            <w:noWrap w:val="0"/>
            <w:vAlign w:val="center"/>
          </w:tcPr>
          <w:p>
            <w:pPr>
              <w:widowControl/>
              <w:jc w:val="left"/>
              <w:rPr>
                <w:rFonts w:ascii="宋体" w:cs="宋体"/>
                <w:kern w:val="0"/>
                <w:sz w:val="20"/>
                <w:szCs w:val="20"/>
              </w:rPr>
            </w:pPr>
            <w:r>
              <w:rPr>
                <w:rFonts w:hint="eastAsia" w:ascii="宋体" w:hAnsi="宋体" w:cs="宋体"/>
                <w:kern w:val="0"/>
                <w:sz w:val="20"/>
                <w:szCs w:val="20"/>
              </w:rPr>
              <w:t>在职人员控制率≤</w:t>
            </w:r>
            <w:r>
              <w:rPr>
                <w:rFonts w:ascii="宋体" w:hAnsi="宋体" w:cs="宋体"/>
                <w:kern w:val="0"/>
                <w:sz w:val="20"/>
                <w:szCs w:val="20"/>
              </w:rPr>
              <w:t>100%</w:t>
            </w:r>
            <w:r>
              <w:rPr>
                <w:rFonts w:hint="eastAsia" w:ascii="宋体" w:hAnsi="宋体" w:cs="宋体"/>
                <w:kern w:val="0"/>
                <w:sz w:val="20"/>
                <w:szCs w:val="20"/>
              </w:rPr>
              <w:t>，得</w:t>
            </w:r>
            <w:r>
              <w:rPr>
                <w:rFonts w:ascii="宋体" w:hAnsi="宋体" w:cs="宋体"/>
                <w:kern w:val="0"/>
                <w:sz w:val="20"/>
                <w:szCs w:val="20"/>
              </w:rPr>
              <w:t>1</w:t>
            </w:r>
            <w:r>
              <w:rPr>
                <w:rFonts w:hint="eastAsia" w:ascii="宋体" w:hAnsi="宋体" w:cs="宋体"/>
                <w:kern w:val="0"/>
                <w:sz w:val="20"/>
                <w:szCs w:val="20"/>
              </w:rPr>
              <w:t>分；</w:t>
            </w:r>
            <w:r>
              <w:rPr>
                <w:rFonts w:ascii="宋体" w:cs="宋体"/>
                <w:kern w:val="0"/>
                <w:sz w:val="20"/>
                <w:szCs w:val="20"/>
              </w:rPr>
              <w:br w:type="textWrapping"/>
            </w:r>
            <w:r>
              <w:rPr>
                <w:rFonts w:hint="eastAsia" w:ascii="宋体" w:hAnsi="宋体" w:cs="宋体"/>
                <w:kern w:val="0"/>
                <w:sz w:val="20"/>
                <w:szCs w:val="20"/>
              </w:rPr>
              <w:t>每超过一个百分点扣</w:t>
            </w:r>
            <w:r>
              <w:rPr>
                <w:rFonts w:ascii="宋体" w:hAnsi="宋体" w:cs="宋体"/>
                <w:kern w:val="0"/>
                <w:sz w:val="20"/>
                <w:szCs w:val="20"/>
              </w:rPr>
              <w:t>0.5</w:t>
            </w:r>
            <w:r>
              <w:rPr>
                <w:rFonts w:hint="eastAsia" w:ascii="宋体" w:hAnsi="宋体" w:cs="宋体"/>
                <w:kern w:val="0"/>
                <w:sz w:val="20"/>
                <w:szCs w:val="20"/>
              </w:rPr>
              <w:t>分，扣完为止。</w:t>
            </w:r>
          </w:p>
        </w:tc>
        <w:tc>
          <w:tcPr>
            <w:tcW w:w="860" w:type="dxa"/>
            <w:vMerge w:val="restart"/>
            <w:tcBorders>
              <w:top w:val="nil"/>
              <w:left w:val="single" w:color="auto" w:sz="4" w:space="0"/>
              <w:bottom w:val="single" w:color="000000" w:sz="4" w:space="0"/>
              <w:right w:val="single" w:color="auto" w:sz="4" w:space="0"/>
            </w:tcBorders>
            <w:noWrap w:val="0"/>
            <w:vAlign w:val="center"/>
          </w:tcPr>
          <w:p>
            <w:pPr>
              <w:widowControl/>
              <w:jc w:val="center"/>
              <w:rPr>
                <w:rFonts w:ascii="宋体" w:cs="宋体"/>
                <w:kern w:val="0"/>
                <w:sz w:val="24"/>
                <w:szCs w:val="24"/>
              </w:rPr>
            </w:pPr>
            <w:r>
              <w:rPr>
                <w:rFonts w:ascii="宋体" w:hAnsi="宋体" w:cs="宋体"/>
                <w:kern w:val="0"/>
                <w:sz w:val="24"/>
                <w:szCs w:val="24"/>
              </w:rPr>
              <w:t>1</w:t>
            </w:r>
          </w:p>
        </w:tc>
      </w:tr>
      <w:tr>
        <w:trPr>
          <w:trHeight w:val="480" w:hRule="atLeast"/>
        </w:trPr>
        <w:tc>
          <w:tcPr>
            <w:tcW w:w="62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cs="宋体"/>
                <w:kern w:val="0"/>
                <w:sz w:val="20"/>
                <w:szCs w:val="20"/>
              </w:rPr>
            </w:pPr>
          </w:p>
        </w:tc>
        <w:tc>
          <w:tcPr>
            <w:tcW w:w="62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cs="宋体"/>
                <w:kern w:val="0"/>
                <w:sz w:val="20"/>
                <w:szCs w:val="20"/>
              </w:rPr>
            </w:pPr>
          </w:p>
        </w:tc>
        <w:tc>
          <w:tcPr>
            <w:tcW w:w="88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cs="宋体"/>
                <w:kern w:val="0"/>
                <w:sz w:val="20"/>
                <w:szCs w:val="20"/>
              </w:rPr>
            </w:pPr>
          </w:p>
        </w:tc>
        <w:tc>
          <w:tcPr>
            <w:tcW w:w="42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cs="宋体"/>
                <w:kern w:val="0"/>
                <w:sz w:val="20"/>
                <w:szCs w:val="20"/>
              </w:rPr>
            </w:pPr>
          </w:p>
        </w:tc>
        <w:tc>
          <w:tcPr>
            <w:tcW w:w="3820" w:type="dxa"/>
            <w:tcBorders>
              <w:top w:val="nil"/>
              <w:left w:val="nil"/>
              <w:bottom w:val="nil"/>
              <w:right w:val="single" w:color="auto" w:sz="4" w:space="0"/>
            </w:tcBorders>
            <w:noWrap w:val="0"/>
            <w:vAlign w:val="center"/>
          </w:tcPr>
          <w:p>
            <w:pPr>
              <w:widowControl/>
              <w:jc w:val="left"/>
              <w:rPr>
                <w:rFonts w:ascii="宋体" w:cs="宋体"/>
                <w:kern w:val="0"/>
                <w:sz w:val="20"/>
                <w:szCs w:val="20"/>
              </w:rPr>
            </w:pPr>
            <w:r>
              <w:rPr>
                <w:rFonts w:ascii="宋体" w:hAnsi="宋体" w:cs="宋体"/>
                <w:kern w:val="0"/>
                <w:sz w:val="20"/>
                <w:szCs w:val="20"/>
              </w:rPr>
              <w:t xml:space="preserve">  </w:t>
            </w:r>
            <w:r>
              <w:rPr>
                <w:rFonts w:hint="eastAsia" w:ascii="宋体" w:hAnsi="宋体" w:cs="宋体"/>
                <w:kern w:val="0"/>
                <w:sz w:val="20"/>
                <w:szCs w:val="20"/>
              </w:rPr>
              <w:t>在职人员控制率</w:t>
            </w:r>
            <w:r>
              <w:rPr>
                <w:rFonts w:ascii="宋体" w:hAnsi="宋体" w:cs="宋体"/>
                <w:kern w:val="0"/>
                <w:sz w:val="20"/>
                <w:szCs w:val="20"/>
              </w:rPr>
              <w:t>=</w:t>
            </w:r>
            <w:r>
              <w:rPr>
                <w:rFonts w:hint="eastAsia" w:ascii="宋体" w:hAnsi="宋体" w:cs="宋体"/>
                <w:kern w:val="0"/>
                <w:sz w:val="20"/>
                <w:szCs w:val="20"/>
              </w:rPr>
              <w:t>（在职人员数</w:t>
            </w:r>
            <w:r>
              <w:rPr>
                <w:rFonts w:ascii="宋体" w:hAnsi="宋体" w:cs="宋体"/>
                <w:kern w:val="0"/>
                <w:sz w:val="20"/>
                <w:szCs w:val="20"/>
              </w:rPr>
              <w:t>/</w:t>
            </w:r>
            <w:r>
              <w:rPr>
                <w:rFonts w:hint="eastAsia" w:ascii="宋体" w:hAnsi="宋体" w:cs="宋体"/>
                <w:kern w:val="0"/>
                <w:sz w:val="20"/>
                <w:szCs w:val="20"/>
              </w:rPr>
              <w:t>编制数）×</w:t>
            </w:r>
            <w:r>
              <w:rPr>
                <w:rFonts w:ascii="宋体" w:hAnsi="宋体" w:cs="宋体"/>
                <w:kern w:val="0"/>
                <w:sz w:val="20"/>
                <w:szCs w:val="20"/>
              </w:rPr>
              <w:t>100%</w:t>
            </w:r>
            <w:r>
              <w:rPr>
                <w:rFonts w:hint="eastAsia" w:ascii="宋体" w:hAnsi="宋体" w:cs="宋体"/>
                <w:kern w:val="0"/>
                <w:sz w:val="20"/>
                <w:szCs w:val="20"/>
              </w:rPr>
              <w:t>。</w:t>
            </w:r>
          </w:p>
        </w:tc>
        <w:tc>
          <w:tcPr>
            <w:tcW w:w="2500" w:type="dxa"/>
            <w:vMerge w:val="continue"/>
            <w:tcBorders>
              <w:top w:val="nil"/>
              <w:left w:val="single" w:color="auto" w:sz="4" w:space="0"/>
              <w:bottom w:val="single" w:color="000000" w:sz="4" w:space="0"/>
              <w:right w:val="nil"/>
            </w:tcBorders>
            <w:noWrap w:val="0"/>
            <w:vAlign w:val="center"/>
          </w:tcPr>
          <w:p>
            <w:pPr>
              <w:widowControl/>
              <w:jc w:val="left"/>
              <w:rPr>
                <w:rFonts w:ascii="宋体" w:cs="宋体"/>
                <w:kern w:val="0"/>
                <w:sz w:val="20"/>
                <w:szCs w:val="20"/>
              </w:rPr>
            </w:pPr>
          </w:p>
        </w:tc>
        <w:tc>
          <w:tcPr>
            <w:tcW w:w="86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cs="宋体"/>
                <w:kern w:val="0"/>
                <w:sz w:val="24"/>
                <w:szCs w:val="24"/>
              </w:rPr>
            </w:pPr>
          </w:p>
        </w:tc>
      </w:tr>
      <w:tr>
        <w:tblPrEx>
          <w:tblCellMar>
            <w:top w:w="0" w:type="dxa"/>
            <w:left w:w="108" w:type="dxa"/>
            <w:bottom w:w="0" w:type="dxa"/>
            <w:right w:w="108" w:type="dxa"/>
          </w:tblCellMar>
        </w:tblPrEx>
        <w:trPr>
          <w:trHeight w:val="810" w:hRule="atLeast"/>
        </w:trPr>
        <w:tc>
          <w:tcPr>
            <w:tcW w:w="62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cs="宋体"/>
                <w:kern w:val="0"/>
                <w:sz w:val="20"/>
                <w:szCs w:val="20"/>
              </w:rPr>
            </w:pPr>
          </w:p>
        </w:tc>
        <w:tc>
          <w:tcPr>
            <w:tcW w:w="62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cs="宋体"/>
                <w:kern w:val="0"/>
                <w:sz w:val="20"/>
                <w:szCs w:val="20"/>
              </w:rPr>
            </w:pPr>
          </w:p>
        </w:tc>
        <w:tc>
          <w:tcPr>
            <w:tcW w:w="88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cs="宋体"/>
                <w:kern w:val="0"/>
                <w:sz w:val="20"/>
                <w:szCs w:val="20"/>
              </w:rPr>
            </w:pPr>
          </w:p>
        </w:tc>
        <w:tc>
          <w:tcPr>
            <w:tcW w:w="42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cs="宋体"/>
                <w:kern w:val="0"/>
                <w:sz w:val="20"/>
                <w:szCs w:val="20"/>
              </w:rPr>
            </w:pPr>
          </w:p>
        </w:tc>
        <w:tc>
          <w:tcPr>
            <w:tcW w:w="3820" w:type="dxa"/>
            <w:tcBorders>
              <w:top w:val="nil"/>
              <w:left w:val="nil"/>
              <w:bottom w:val="nil"/>
              <w:right w:val="single" w:color="auto" w:sz="4" w:space="0"/>
            </w:tcBorders>
            <w:noWrap w:val="0"/>
            <w:vAlign w:val="center"/>
          </w:tcPr>
          <w:p>
            <w:pPr>
              <w:widowControl/>
              <w:jc w:val="left"/>
              <w:rPr>
                <w:rFonts w:ascii="宋体" w:cs="宋体"/>
                <w:kern w:val="0"/>
                <w:sz w:val="20"/>
                <w:szCs w:val="20"/>
              </w:rPr>
            </w:pPr>
            <w:r>
              <w:rPr>
                <w:rFonts w:ascii="宋体" w:hAnsi="宋体" w:cs="宋体"/>
                <w:kern w:val="0"/>
                <w:sz w:val="20"/>
                <w:szCs w:val="20"/>
              </w:rPr>
              <w:t xml:space="preserve">  </w:t>
            </w:r>
            <w:r>
              <w:rPr>
                <w:rFonts w:hint="eastAsia" w:ascii="宋体" w:hAnsi="宋体" w:cs="宋体"/>
                <w:kern w:val="0"/>
                <w:sz w:val="20"/>
                <w:szCs w:val="20"/>
              </w:rPr>
              <w:t>在职人员数：部门实际在职人数，以财政局确定的部门决算编制口径为准。扣掉编制部门和劳动部门批复同意的临聘人员。</w:t>
            </w:r>
          </w:p>
        </w:tc>
        <w:tc>
          <w:tcPr>
            <w:tcW w:w="2500" w:type="dxa"/>
            <w:vMerge w:val="continue"/>
            <w:tcBorders>
              <w:top w:val="nil"/>
              <w:left w:val="single" w:color="auto" w:sz="4" w:space="0"/>
              <w:bottom w:val="single" w:color="000000" w:sz="4" w:space="0"/>
              <w:right w:val="nil"/>
            </w:tcBorders>
            <w:noWrap w:val="0"/>
            <w:vAlign w:val="center"/>
          </w:tcPr>
          <w:p>
            <w:pPr>
              <w:widowControl/>
              <w:jc w:val="left"/>
              <w:rPr>
                <w:rFonts w:ascii="宋体" w:cs="宋体"/>
                <w:kern w:val="0"/>
                <w:sz w:val="20"/>
                <w:szCs w:val="20"/>
              </w:rPr>
            </w:pPr>
          </w:p>
        </w:tc>
        <w:tc>
          <w:tcPr>
            <w:tcW w:w="86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cs="宋体"/>
                <w:kern w:val="0"/>
                <w:sz w:val="24"/>
                <w:szCs w:val="24"/>
              </w:rPr>
            </w:pPr>
          </w:p>
        </w:tc>
      </w:tr>
      <w:tr>
        <w:tblPrEx>
          <w:tblCellMar>
            <w:top w:w="0" w:type="dxa"/>
            <w:left w:w="108" w:type="dxa"/>
            <w:bottom w:w="0" w:type="dxa"/>
            <w:right w:w="108" w:type="dxa"/>
          </w:tblCellMar>
        </w:tblPrEx>
        <w:trPr>
          <w:trHeight w:val="735" w:hRule="atLeast"/>
        </w:trPr>
        <w:tc>
          <w:tcPr>
            <w:tcW w:w="62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cs="宋体"/>
                <w:kern w:val="0"/>
                <w:sz w:val="20"/>
                <w:szCs w:val="20"/>
              </w:rPr>
            </w:pPr>
          </w:p>
        </w:tc>
        <w:tc>
          <w:tcPr>
            <w:tcW w:w="62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cs="宋体"/>
                <w:kern w:val="0"/>
                <w:sz w:val="20"/>
                <w:szCs w:val="20"/>
              </w:rPr>
            </w:pPr>
          </w:p>
        </w:tc>
        <w:tc>
          <w:tcPr>
            <w:tcW w:w="88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cs="宋体"/>
                <w:kern w:val="0"/>
                <w:sz w:val="20"/>
                <w:szCs w:val="20"/>
              </w:rPr>
            </w:pPr>
          </w:p>
        </w:tc>
        <w:tc>
          <w:tcPr>
            <w:tcW w:w="42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cs="宋体"/>
                <w:kern w:val="0"/>
                <w:sz w:val="20"/>
                <w:szCs w:val="20"/>
              </w:rPr>
            </w:pPr>
          </w:p>
        </w:tc>
        <w:tc>
          <w:tcPr>
            <w:tcW w:w="3820" w:type="dxa"/>
            <w:tcBorders>
              <w:top w:val="nil"/>
              <w:left w:val="nil"/>
              <w:bottom w:val="single" w:color="auto" w:sz="4" w:space="0"/>
              <w:right w:val="single" w:color="auto" w:sz="4" w:space="0"/>
            </w:tcBorders>
            <w:noWrap w:val="0"/>
            <w:vAlign w:val="center"/>
          </w:tcPr>
          <w:p>
            <w:pPr>
              <w:widowControl/>
              <w:jc w:val="left"/>
              <w:rPr>
                <w:rFonts w:ascii="宋体" w:cs="宋体"/>
                <w:kern w:val="0"/>
                <w:sz w:val="20"/>
                <w:szCs w:val="20"/>
              </w:rPr>
            </w:pPr>
            <w:r>
              <w:rPr>
                <w:rFonts w:ascii="宋体" w:hAnsi="宋体" w:cs="宋体"/>
                <w:kern w:val="0"/>
                <w:sz w:val="20"/>
                <w:szCs w:val="20"/>
              </w:rPr>
              <w:t xml:space="preserve">  </w:t>
            </w:r>
            <w:r>
              <w:rPr>
                <w:rFonts w:hint="eastAsia" w:ascii="宋体" w:hAnsi="宋体" w:cs="宋体"/>
                <w:kern w:val="0"/>
                <w:sz w:val="20"/>
                <w:szCs w:val="20"/>
              </w:rPr>
              <w:t>编制数：机构编制部门核定批复的部门的人员编制数。</w:t>
            </w:r>
          </w:p>
        </w:tc>
        <w:tc>
          <w:tcPr>
            <w:tcW w:w="2500" w:type="dxa"/>
            <w:vMerge w:val="continue"/>
            <w:tcBorders>
              <w:top w:val="nil"/>
              <w:left w:val="single" w:color="auto" w:sz="4" w:space="0"/>
              <w:bottom w:val="single" w:color="000000" w:sz="4" w:space="0"/>
              <w:right w:val="nil"/>
            </w:tcBorders>
            <w:noWrap w:val="0"/>
            <w:vAlign w:val="center"/>
          </w:tcPr>
          <w:p>
            <w:pPr>
              <w:widowControl/>
              <w:jc w:val="left"/>
              <w:rPr>
                <w:rFonts w:ascii="宋体" w:cs="宋体"/>
                <w:kern w:val="0"/>
                <w:sz w:val="20"/>
                <w:szCs w:val="20"/>
              </w:rPr>
            </w:pPr>
          </w:p>
        </w:tc>
        <w:tc>
          <w:tcPr>
            <w:tcW w:w="86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cs="宋体"/>
                <w:kern w:val="0"/>
                <w:sz w:val="24"/>
                <w:szCs w:val="24"/>
              </w:rPr>
            </w:pPr>
          </w:p>
        </w:tc>
      </w:tr>
      <w:tr>
        <w:tblPrEx>
          <w:tblCellMar>
            <w:top w:w="0" w:type="dxa"/>
            <w:left w:w="108" w:type="dxa"/>
            <w:bottom w:w="0" w:type="dxa"/>
            <w:right w:w="108" w:type="dxa"/>
          </w:tblCellMar>
        </w:tblPrEx>
        <w:trPr>
          <w:trHeight w:val="780" w:hRule="atLeast"/>
        </w:trPr>
        <w:tc>
          <w:tcPr>
            <w:tcW w:w="62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cs="宋体"/>
                <w:kern w:val="0"/>
                <w:sz w:val="20"/>
                <w:szCs w:val="20"/>
              </w:rPr>
            </w:pPr>
          </w:p>
        </w:tc>
        <w:tc>
          <w:tcPr>
            <w:tcW w:w="62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cs="宋体"/>
                <w:kern w:val="0"/>
                <w:sz w:val="20"/>
                <w:szCs w:val="20"/>
              </w:rPr>
            </w:pPr>
          </w:p>
        </w:tc>
        <w:tc>
          <w:tcPr>
            <w:tcW w:w="880" w:type="dxa"/>
            <w:vMerge w:val="restart"/>
            <w:tcBorders>
              <w:top w:val="nil"/>
              <w:left w:val="single" w:color="auto" w:sz="4" w:space="0"/>
              <w:bottom w:val="single" w:color="000000" w:sz="4" w:space="0"/>
              <w:right w:val="single" w:color="auto" w:sz="4" w:space="0"/>
            </w:tcBorders>
            <w:noWrap w:val="0"/>
            <w:vAlign w:val="center"/>
          </w:tcPr>
          <w:p>
            <w:pPr>
              <w:widowControl/>
              <w:jc w:val="center"/>
              <w:rPr>
                <w:rFonts w:ascii="宋体" w:cs="宋体"/>
                <w:kern w:val="0"/>
                <w:sz w:val="20"/>
                <w:szCs w:val="20"/>
              </w:rPr>
            </w:pPr>
            <w:r>
              <w:rPr>
                <w:rFonts w:hint="eastAsia" w:ascii="宋体" w:hAnsi="宋体" w:cs="宋体"/>
                <w:kern w:val="0"/>
                <w:sz w:val="20"/>
                <w:szCs w:val="20"/>
              </w:rPr>
              <w:t>“三公经费”变动率</w:t>
            </w:r>
          </w:p>
        </w:tc>
        <w:tc>
          <w:tcPr>
            <w:tcW w:w="420" w:type="dxa"/>
            <w:vMerge w:val="restart"/>
            <w:tcBorders>
              <w:top w:val="nil"/>
              <w:left w:val="single" w:color="auto" w:sz="4" w:space="0"/>
              <w:bottom w:val="single" w:color="000000" w:sz="4" w:space="0"/>
              <w:right w:val="single" w:color="000000" w:sz="4" w:space="0"/>
            </w:tcBorders>
            <w:noWrap w:val="0"/>
            <w:vAlign w:val="center"/>
          </w:tcPr>
          <w:p>
            <w:pPr>
              <w:widowControl/>
              <w:jc w:val="center"/>
              <w:rPr>
                <w:rFonts w:ascii="宋体" w:cs="宋体"/>
                <w:kern w:val="0"/>
                <w:sz w:val="20"/>
                <w:szCs w:val="20"/>
              </w:rPr>
            </w:pPr>
            <w:r>
              <w:rPr>
                <w:rFonts w:ascii="宋体" w:hAnsi="宋体" w:cs="宋体"/>
                <w:kern w:val="0"/>
                <w:sz w:val="20"/>
                <w:szCs w:val="20"/>
              </w:rPr>
              <w:t>1</w:t>
            </w:r>
          </w:p>
        </w:tc>
        <w:tc>
          <w:tcPr>
            <w:tcW w:w="3820" w:type="dxa"/>
            <w:tcBorders>
              <w:top w:val="nil"/>
              <w:left w:val="nil"/>
              <w:bottom w:val="nil"/>
              <w:right w:val="single" w:color="auto" w:sz="4" w:space="0"/>
            </w:tcBorders>
            <w:noWrap w:val="0"/>
            <w:vAlign w:val="center"/>
          </w:tcPr>
          <w:p>
            <w:pPr>
              <w:widowControl/>
              <w:jc w:val="left"/>
              <w:rPr>
                <w:rFonts w:ascii="宋体" w:cs="宋体"/>
                <w:kern w:val="0"/>
                <w:sz w:val="20"/>
                <w:szCs w:val="20"/>
              </w:rPr>
            </w:pPr>
            <w:r>
              <w:rPr>
                <w:rFonts w:ascii="宋体" w:hAnsi="宋体" w:cs="宋体"/>
                <w:kern w:val="0"/>
                <w:sz w:val="20"/>
                <w:szCs w:val="20"/>
              </w:rPr>
              <w:t xml:space="preserve">  </w:t>
            </w:r>
            <w:r>
              <w:rPr>
                <w:rFonts w:hint="eastAsia" w:ascii="宋体" w:hAnsi="宋体" w:cs="宋体"/>
                <w:kern w:val="0"/>
                <w:sz w:val="20"/>
                <w:szCs w:val="20"/>
              </w:rPr>
              <w:t>部门本年度“三公经费”预算数与上年度“三公经费”预算数的变动比率，用以反映和考核部门对控制重点行政成本的努力程度。</w:t>
            </w:r>
          </w:p>
        </w:tc>
        <w:tc>
          <w:tcPr>
            <w:tcW w:w="2500" w:type="dxa"/>
            <w:vMerge w:val="restart"/>
            <w:tcBorders>
              <w:top w:val="nil"/>
              <w:left w:val="nil"/>
              <w:bottom w:val="single" w:color="000000" w:sz="4" w:space="0"/>
              <w:right w:val="nil"/>
            </w:tcBorders>
            <w:noWrap w:val="0"/>
            <w:vAlign w:val="center"/>
          </w:tcPr>
          <w:p>
            <w:pPr>
              <w:widowControl/>
              <w:jc w:val="left"/>
              <w:rPr>
                <w:rFonts w:ascii="宋体" w:cs="宋体"/>
                <w:kern w:val="0"/>
                <w:sz w:val="20"/>
                <w:szCs w:val="20"/>
              </w:rPr>
            </w:pPr>
            <w:r>
              <w:rPr>
                <w:rFonts w:hint="eastAsia" w:ascii="宋体" w:hAnsi="宋体" w:cs="宋体"/>
                <w:kern w:val="0"/>
                <w:sz w:val="20"/>
                <w:szCs w:val="20"/>
              </w:rPr>
              <w:t>“三公经费”变动率≤</w:t>
            </w:r>
            <w:r>
              <w:rPr>
                <w:rFonts w:ascii="宋体" w:hAnsi="宋体" w:cs="宋体"/>
                <w:kern w:val="0"/>
                <w:sz w:val="20"/>
                <w:szCs w:val="20"/>
              </w:rPr>
              <w:t>0,</w:t>
            </w:r>
            <w:r>
              <w:rPr>
                <w:rFonts w:hint="eastAsia" w:ascii="宋体" w:hAnsi="宋体" w:cs="宋体"/>
                <w:kern w:val="0"/>
                <w:sz w:val="20"/>
                <w:szCs w:val="20"/>
              </w:rPr>
              <w:t>得</w:t>
            </w:r>
            <w:r>
              <w:rPr>
                <w:rFonts w:ascii="宋体" w:hAnsi="宋体" w:cs="宋体"/>
                <w:kern w:val="0"/>
                <w:sz w:val="20"/>
                <w:szCs w:val="20"/>
              </w:rPr>
              <w:t>1</w:t>
            </w:r>
            <w:r>
              <w:rPr>
                <w:rFonts w:hint="eastAsia" w:ascii="宋体" w:hAnsi="宋体" w:cs="宋体"/>
                <w:kern w:val="0"/>
                <w:sz w:val="20"/>
                <w:szCs w:val="20"/>
              </w:rPr>
              <w:t>分；</w:t>
            </w:r>
            <w:r>
              <w:rPr>
                <w:rFonts w:ascii="宋体" w:cs="宋体"/>
                <w:kern w:val="0"/>
                <w:sz w:val="20"/>
                <w:szCs w:val="20"/>
              </w:rPr>
              <w:br w:type="textWrapping"/>
            </w:r>
            <w:r>
              <w:rPr>
                <w:rFonts w:hint="eastAsia" w:ascii="宋体" w:hAnsi="宋体" w:cs="宋体"/>
                <w:kern w:val="0"/>
                <w:sz w:val="20"/>
                <w:szCs w:val="20"/>
              </w:rPr>
              <w:t>每超过一个百分点扣</w:t>
            </w:r>
            <w:r>
              <w:rPr>
                <w:rFonts w:ascii="宋体" w:hAnsi="宋体" w:cs="宋体"/>
                <w:kern w:val="0"/>
                <w:sz w:val="20"/>
                <w:szCs w:val="20"/>
              </w:rPr>
              <w:t>0.5</w:t>
            </w:r>
            <w:r>
              <w:rPr>
                <w:rFonts w:hint="eastAsia" w:ascii="宋体" w:hAnsi="宋体" w:cs="宋体"/>
                <w:kern w:val="0"/>
                <w:sz w:val="20"/>
                <w:szCs w:val="20"/>
              </w:rPr>
              <w:t>分，扣完为止。</w:t>
            </w:r>
          </w:p>
        </w:tc>
        <w:tc>
          <w:tcPr>
            <w:tcW w:w="860" w:type="dxa"/>
            <w:vMerge w:val="restart"/>
            <w:tcBorders>
              <w:top w:val="nil"/>
              <w:left w:val="single" w:color="auto" w:sz="4" w:space="0"/>
              <w:bottom w:val="single" w:color="000000" w:sz="4" w:space="0"/>
              <w:right w:val="single" w:color="auto" w:sz="4" w:space="0"/>
            </w:tcBorders>
            <w:noWrap w:val="0"/>
            <w:vAlign w:val="center"/>
          </w:tcPr>
          <w:p>
            <w:pPr>
              <w:widowControl/>
              <w:jc w:val="center"/>
              <w:rPr>
                <w:rFonts w:ascii="宋体" w:cs="宋体"/>
                <w:kern w:val="0"/>
                <w:sz w:val="24"/>
                <w:szCs w:val="24"/>
              </w:rPr>
            </w:pPr>
            <w:r>
              <w:rPr>
                <w:rFonts w:ascii="宋体" w:hAnsi="宋体" w:cs="宋体"/>
                <w:kern w:val="0"/>
                <w:sz w:val="24"/>
                <w:szCs w:val="24"/>
              </w:rPr>
              <w:t>1</w:t>
            </w:r>
          </w:p>
        </w:tc>
      </w:tr>
      <w:tr>
        <w:trPr>
          <w:trHeight w:val="960" w:hRule="atLeast"/>
        </w:trPr>
        <w:tc>
          <w:tcPr>
            <w:tcW w:w="62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cs="宋体"/>
                <w:kern w:val="0"/>
                <w:sz w:val="20"/>
                <w:szCs w:val="20"/>
              </w:rPr>
            </w:pPr>
          </w:p>
        </w:tc>
        <w:tc>
          <w:tcPr>
            <w:tcW w:w="62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cs="宋体"/>
                <w:kern w:val="0"/>
                <w:sz w:val="20"/>
                <w:szCs w:val="20"/>
              </w:rPr>
            </w:pPr>
          </w:p>
        </w:tc>
        <w:tc>
          <w:tcPr>
            <w:tcW w:w="88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cs="宋体"/>
                <w:kern w:val="0"/>
                <w:sz w:val="20"/>
                <w:szCs w:val="20"/>
              </w:rPr>
            </w:pPr>
          </w:p>
        </w:tc>
        <w:tc>
          <w:tcPr>
            <w:tcW w:w="420" w:type="dxa"/>
            <w:vMerge w:val="continue"/>
            <w:tcBorders>
              <w:top w:val="nil"/>
              <w:left w:val="single" w:color="auto" w:sz="4" w:space="0"/>
              <w:bottom w:val="single" w:color="000000" w:sz="4" w:space="0"/>
              <w:right w:val="single" w:color="000000" w:sz="4" w:space="0"/>
            </w:tcBorders>
            <w:noWrap w:val="0"/>
            <w:vAlign w:val="center"/>
          </w:tcPr>
          <w:p>
            <w:pPr>
              <w:widowControl/>
              <w:jc w:val="left"/>
              <w:rPr>
                <w:rFonts w:ascii="宋体" w:cs="宋体"/>
                <w:kern w:val="0"/>
                <w:sz w:val="20"/>
                <w:szCs w:val="20"/>
              </w:rPr>
            </w:pPr>
          </w:p>
        </w:tc>
        <w:tc>
          <w:tcPr>
            <w:tcW w:w="3820" w:type="dxa"/>
            <w:tcBorders>
              <w:top w:val="nil"/>
              <w:left w:val="nil"/>
              <w:bottom w:val="nil"/>
              <w:right w:val="single" w:color="auto" w:sz="4" w:space="0"/>
            </w:tcBorders>
            <w:noWrap w:val="0"/>
            <w:vAlign w:val="center"/>
          </w:tcPr>
          <w:p>
            <w:pPr>
              <w:widowControl/>
              <w:jc w:val="left"/>
              <w:rPr>
                <w:rFonts w:ascii="宋体" w:cs="宋体"/>
                <w:kern w:val="0"/>
                <w:sz w:val="20"/>
                <w:szCs w:val="20"/>
              </w:rPr>
            </w:pPr>
            <w:r>
              <w:rPr>
                <w:rFonts w:ascii="宋体" w:hAnsi="宋体" w:cs="宋体"/>
                <w:kern w:val="0"/>
                <w:sz w:val="20"/>
                <w:szCs w:val="20"/>
              </w:rPr>
              <w:t xml:space="preserve">  </w:t>
            </w:r>
            <w:r>
              <w:rPr>
                <w:rFonts w:hint="eastAsia" w:ascii="宋体" w:hAnsi="宋体" w:cs="宋体"/>
                <w:kern w:val="0"/>
                <w:sz w:val="20"/>
                <w:szCs w:val="20"/>
              </w:rPr>
              <w:t>“三公经费”变动率</w:t>
            </w:r>
            <w:r>
              <w:rPr>
                <w:rFonts w:ascii="宋体" w:hAnsi="宋体" w:cs="宋体"/>
                <w:kern w:val="0"/>
                <w:sz w:val="20"/>
                <w:szCs w:val="20"/>
              </w:rPr>
              <w:t>=[</w:t>
            </w:r>
            <w:r>
              <w:rPr>
                <w:rFonts w:hint="eastAsia" w:ascii="宋体" w:hAnsi="宋体" w:cs="宋体"/>
                <w:kern w:val="0"/>
                <w:sz w:val="20"/>
                <w:szCs w:val="20"/>
              </w:rPr>
              <w:t>（本年度“三公经费”预算数</w:t>
            </w:r>
            <w:r>
              <w:rPr>
                <w:rFonts w:ascii="宋体" w:hAnsi="宋体" w:cs="宋体"/>
                <w:kern w:val="0"/>
                <w:sz w:val="20"/>
                <w:szCs w:val="20"/>
              </w:rPr>
              <w:t>-</w:t>
            </w:r>
            <w:r>
              <w:rPr>
                <w:rFonts w:hint="eastAsia" w:ascii="宋体" w:hAnsi="宋体" w:cs="宋体"/>
                <w:kern w:val="0"/>
                <w:sz w:val="20"/>
                <w:szCs w:val="20"/>
              </w:rPr>
              <w:t>上年度“三公经费”预算数）</w:t>
            </w:r>
            <w:r>
              <w:rPr>
                <w:rFonts w:ascii="宋体" w:hAnsi="宋体" w:cs="宋体"/>
                <w:kern w:val="0"/>
                <w:sz w:val="20"/>
                <w:szCs w:val="20"/>
              </w:rPr>
              <w:t>/</w:t>
            </w:r>
            <w:r>
              <w:rPr>
                <w:rFonts w:hint="eastAsia" w:ascii="宋体" w:hAnsi="宋体" w:cs="宋体"/>
                <w:kern w:val="0"/>
                <w:sz w:val="20"/>
                <w:szCs w:val="20"/>
              </w:rPr>
              <w:t>上年度“三公经费”预算数</w:t>
            </w:r>
            <w:r>
              <w:rPr>
                <w:rFonts w:ascii="宋体" w:hAnsi="宋体" w:cs="宋体"/>
                <w:kern w:val="0"/>
                <w:sz w:val="20"/>
                <w:szCs w:val="20"/>
              </w:rPr>
              <w:t>]</w:t>
            </w:r>
            <w:r>
              <w:rPr>
                <w:rFonts w:hint="eastAsia" w:ascii="宋体" w:hAnsi="宋体" w:cs="宋体"/>
                <w:kern w:val="0"/>
                <w:sz w:val="20"/>
                <w:szCs w:val="20"/>
              </w:rPr>
              <w:t>×</w:t>
            </w:r>
            <w:r>
              <w:rPr>
                <w:rFonts w:ascii="宋体" w:hAnsi="宋体" w:cs="宋体"/>
                <w:kern w:val="0"/>
                <w:sz w:val="20"/>
                <w:szCs w:val="20"/>
              </w:rPr>
              <w:t>100% </w:t>
            </w:r>
          </w:p>
        </w:tc>
        <w:tc>
          <w:tcPr>
            <w:tcW w:w="2500" w:type="dxa"/>
            <w:vMerge w:val="continue"/>
            <w:tcBorders>
              <w:top w:val="nil"/>
              <w:left w:val="nil"/>
              <w:bottom w:val="single" w:color="000000" w:sz="4" w:space="0"/>
              <w:right w:val="nil"/>
            </w:tcBorders>
            <w:noWrap w:val="0"/>
            <w:vAlign w:val="center"/>
          </w:tcPr>
          <w:p>
            <w:pPr>
              <w:widowControl/>
              <w:jc w:val="left"/>
              <w:rPr>
                <w:rFonts w:ascii="宋体" w:cs="宋体"/>
                <w:kern w:val="0"/>
                <w:sz w:val="20"/>
                <w:szCs w:val="20"/>
              </w:rPr>
            </w:pPr>
          </w:p>
        </w:tc>
        <w:tc>
          <w:tcPr>
            <w:tcW w:w="86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cs="宋体"/>
                <w:kern w:val="0"/>
                <w:sz w:val="24"/>
                <w:szCs w:val="24"/>
              </w:rPr>
            </w:pPr>
          </w:p>
        </w:tc>
      </w:tr>
      <w:tr>
        <w:tblPrEx>
          <w:tblCellMar>
            <w:top w:w="0" w:type="dxa"/>
            <w:left w:w="108" w:type="dxa"/>
            <w:bottom w:w="0" w:type="dxa"/>
            <w:right w:w="108" w:type="dxa"/>
          </w:tblCellMar>
        </w:tblPrEx>
        <w:trPr>
          <w:trHeight w:val="885" w:hRule="atLeast"/>
        </w:trPr>
        <w:tc>
          <w:tcPr>
            <w:tcW w:w="62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cs="宋体"/>
                <w:kern w:val="0"/>
                <w:sz w:val="20"/>
                <w:szCs w:val="20"/>
              </w:rPr>
            </w:pPr>
          </w:p>
        </w:tc>
        <w:tc>
          <w:tcPr>
            <w:tcW w:w="62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cs="宋体"/>
                <w:kern w:val="0"/>
                <w:sz w:val="20"/>
                <w:szCs w:val="20"/>
              </w:rPr>
            </w:pPr>
          </w:p>
        </w:tc>
        <w:tc>
          <w:tcPr>
            <w:tcW w:w="88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cs="宋体"/>
                <w:kern w:val="0"/>
                <w:sz w:val="20"/>
                <w:szCs w:val="20"/>
              </w:rPr>
            </w:pPr>
          </w:p>
        </w:tc>
        <w:tc>
          <w:tcPr>
            <w:tcW w:w="420" w:type="dxa"/>
            <w:vMerge w:val="continue"/>
            <w:tcBorders>
              <w:top w:val="nil"/>
              <w:left w:val="single" w:color="auto" w:sz="4" w:space="0"/>
              <w:bottom w:val="single" w:color="000000" w:sz="4" w:space="0"/>
              <w:right w:val="single" w:color="000000" w:sz="4" w:space="0"/>
            </w:tcBorders>
            <w:noWrap w:val="0"/>
            <w:vAlign w:val="center"/>
          </w:tcPr>
          <w:p>
            <w:pPr>
              <w:widowControl/>
              <w:jc w:val="left"/>
              <w:rPr>
                <w:rFonts w:ascii="宋体" w:cs="宋体"/>
                <w:kern w:val="0"/>
                <w:sz w:val="20"/>
                <w:szCs w:val="20"/>
              </w:rPr>
            </w:pPr>
          </w:p>
        </w:tc>
        <w:tc>
          <w:tcPr>
            <w:tcW w:w="3820" w:type="dxa"/>
            <w:tcBorders>
              <w:top w:val="nil"/>
              <w:left w:val="nil"/>
              <w:bottom w:val="single" w:color="auto" w:sz="4" w:space="0"/>
              <w:right w:val="single" w:color="auto" w:sz="4" w:space="0"/>
            </w:tcBorders>
            <w:noWrap w:val="0"/>
            <w:vAlign w:val="center"/>
          </w:tcPr>
          <w:p>
            <w:pPr>
              <w:widowControl/>
              <w:jc w:val="left"/>
              <w:rPr>
                <w:rFonts w:ascii="宋体" w:cs="宋体"/>
                <w:kern w:val="0"/>
                <w:sz w:val="20"/>
                <w:szCs w:val="20"/>
              </w:rPr>
            </w:pPr>
            <w:r>
              <w:rPr>
                <w:rFonts w:ascii="宋体" w:hAnsi="宋体" w:cs="宋体"/>
                <w:kern w:val="0"/>
                <w:sz w:val="20"/>
                <w:szCs w:val="20"/>
              </w:rPr>
              <w:t xml:space="preserve">  </w:t>
            </w:r>
            <w:r>
              <w:rPr>
                <w:rFonts w:hint="eastAsia" w:ascii="宋体" w:hAnsi="宋体" w:cs="宋体"/>
                <w:kern w:val="0"/>
                <w:sz w:val="20"/>
                <w:szCs w:val="20"/>
              </w:rPr>
              <w:t>“三公经费”：年度预算安排的因公出国（境）费、公务车辆购置及运行费和公务招待费。</w:t>
            </w:r>
          </w:p>
        </w:tc>
        <w:tc>
          <w:tcPr>
            <w:tcW w:w="2500" w:type="dxa"/>
            <w:vMerge w:val="continue"/>
            <w:tcBorders>
              <w:top w:val="nil"/>
              <w:left w:val="nil"/>
              <w:bottom w:val="single" w:color="000000" w:sz="4" w:space="0"/>
              <w:right w:val="nil"/>
            </w:tcBorders>
            <w:noWrap w:val="0"/>
            <w:vAlign w:val="center"/>
          </w:tcPr>
          <w:p>
            <w:pPr>
              <w:widowControl/>
              <w:jc w:val="left"/>
              <w:rPr>
                <w:rFonts w:ascii="宋体" w:cs="宋体"/>
                <w:kern w:val="0"/>
                <w:sz w:val="20"/>
                <w:szCs w:val="20"/>
              </w:rPr>
            </w:pPr>
          </w:p>
        </w:tc>
        <w:tc>
          <w:tcPr>
            <w:tcW w:w="86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cs="宋体"/>
                <w:kern w:val="0"/>
                <w:sz w:val="24"/>
                <w:szCs w:val="24"/>
              </w:rPr>
            </w:pPr>
          </w:p>
        </w:tc>
      </w:tr>
      <w:tr>
        <w:tblPrEx>
          <w:tblCellMar>
            <w:top w:w="0" w:type="dxa"/>
            <w:left w:w="108" w:type="dxa"/>
            <w:bottom w:w="0" w:type="dxa"/>
            <w:right w:w="108" w:type="dxa"/>
          </w:tblCellMar>
        </w:tblPrEx>
        <w:trPr>
          <w:trHeight w:val="2805" w:hRule="atLeast"/>
        </w:trPr>
        <w:tc>
          <w:tcPr>
            <w:tcW w:w="62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cs="宋体"/>
                <w:kern w:val="0"/>
                <w:sz w:val="20"/>
                <w:szCs w:val="20"/>
              </w:rPr>
            </w:pPr>
          </w:p>
        </w:tc>
        <w:tc>
          <w:tcPr>
            <w:tcW w:w="62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cs="宋体"/>
                <w:kern w:val="0"/>
                <w:sz w:val="20"/>
                <w:szCs w:val="20"/>
              </w:rPr>
            </w:pPr>
          </w:p>
        </w:tc>
        <w:tc>
          <w:tcPr>
            <w:tcW w:w="880" w:type="dxa"/>
            <w:tcBorders>
              <w:top w:val="nil"/>
              <w:left w:val="nil"/>
              <w:bottom w:val="single" w:color="auto" w:sz="4" w:space="0"/>
              <w:right w:val="single" w:color="auto" w:sz="4" w:space="0"/>
            </w:tcBorders>
            <w:noWrap w:val="0"/>
            <w:vAlign w:val="center"/>
          </w:tcPr>
          <w:p>
            <w:pPr>
              <w:widowControl/>
              <w:jc w:val="left"/>
              <w:rPr>
                <w:rFonts w:ascii="宋体" w:cs="宋体"/>
                <w:kern w:val="0"/>
                <w:sz w:val="20"/>
                <w:szCs w:val="20"/>
              </w:rPr>
            </w:pPr>
            <w:r>
              <w:rPr>
                <w:rFonts w:hint="eastAsia" w:ascii="宋体" w:hAnsi="宋体" w:cs="宋体"/>
                <w:kern w:val="0"/>
                <w:sz w:val="20"/>
                <w:szCs w:val="20"/>
              </w:rPr>
              <w:t>重点支出安排率</w:t>
            </w:r>
          </w:p>
        </w:tc>
        <w:tc>
          <w:tcPr>
            <w:tcW w:w="420" w:type="dxa"/>
            <w:tcBorders>
              <w:top w:val="nil"/>
              <w:left w:val="nil"/>
              <w:bottom w:val="single" w:color="auto" w:sz="4" w:space="0"/>
              <w:right w:val="single" w:color="auto" w:sz="4" w:space="0"/>
            </w:tcBorders>
            <w:noWrap w:val="0"/>
            <w:vAlign w:val="center"/>
          </w:tcPr>
          <w:p>
            <w:pPr>
              <w:widowControl/>
              <w:jc w:val="center"/>
              <w:rPr>
                <w:rFonts w:ascii="宋体" w:cs="宋体"/>
                <w:kern w:val="0"/>
                <w:sz w:val="20"/>
                <w:szCs w:val="20"/>
              </w:rPr>
            </w:pPr>
            <w:r>
              <w:rPr>
                <w:rFonts w:ascii="宋体" w:hAnsi="宋体" w:cs="宋体"/>
                <w:kern w:val="0"/>
                <w:sz w:val="20"/>
                <w:szCs w:val="20"/>
              </w:rPr>
              <w:t>3</w:t>
            </w:r>
          </w:p>
        </w:tc>
        <w:tc>
          <w:tcPr>
            <w:tcW w:w="3820" w:type="dxa"/>
            <w:tcBorders>
              <w:top w:val="nil"/>
              <w:left w:val="nil"/>
              <w:bottom w:val="single" w:color="auto" w:sz="4" w:space="0"/>
              <w:right w:val="single" w:color="auto" w:sz="4" w:space="0"/>
            </w:tcBorders>
            <w:noWrap w:val="0"/>
            <w:vAlign w:val="center"/>
          </w:tcPr>
          <w:p>
            <w:pPr>
              <w:widowControl/>
              <w:jc w:val="left"/>
              <w:rPr>
                <w:rFonts w:ascii="宋体" w:cs="宋体"/>
                <w:kern w:val="0"/>
                <w:sz w:val="20"/>
                <w:szCs w:val="20"/>
              </w:rPr>
            </w:pPr>
            <w:r>
              <w:rPr>
                <w:rFonts w:ascii="宋体" w:hAnsi="宋体" w:cs="宋体"/>
                <w:kern w:val="0"/>
                <w:sz w:val="20"/>
                <w:szCs w:val="20"/>
              </w:rPr>
              <w:t xml:space="preserve">  </w:t>
            </w:r>
            <w:r>
              <w:rPr>
                <w:rFonts w:hint="eastAsia" w:ascii="宋体" w:hAnsi="宋体" w:cs="宋体"/>
                <w:kern w:val="0"/>
                <w:sz w:val="20"/>
                <w:szCs w:val="20"/>
              </w:rPr>
              <w:t>部门本年度预算安排的重点预算支出与部门预算总支出的比率，用以反映和考核部门对履行主要职责或完成重点任务的保障程度。</w:t>
            </w:r>
            <w:r>
              <w:rPr>
                <w:rFonts w:ascii="宋体" w:cs="宋体"/>
                <w:kern w:val="0"/>
                <w:sz w:val="20"/>
                <w:szCs w:val="20"/>
              </w:rPr>
              <w:br w:type="textWrapping"/>
            </w:r>
            <w:r>
              <w:rPr>
                <w:rFonts w:ascii="宋体" w:hAnsi="宋体" w:cs="宋体"/>
                <w:kern w:val="0"/>
                <w:sz w:val="20"/>
                <w:szCs w:val="20"/>
              </w:rPr>
              <w:t xml:space="preserve">  </w:t>
            </w:r>
            <w:r>
              <w:rPr>
                <w:rFonts w:hint="eastAsia" w:ascii="宋体" w:hAnsi="宋体" w:cs="宋体"/>
                <w:kern w:val="0"/>
                <w:sz w:val="20"/>
                <w:szCs w:val="20"/>
              </w:rPr>
              <w:t>重点指出安排率</w:t>
            </w:r>
            <w:r>
              <w:rPr>
                <w:rFonts w:ascii="宋体" w:hAnsi="宋体" w:cs="宋体"/>
                <w:kern w:val="0"/>
                <w:sz w:val="20"/>
                <w:szCs w:val="20"/>
              </w:rPr>
              <w:t>=</w:t>
            </w:r>
            <w:r>
              <w:rPr>
                <w:rFonts w:hint="eastAsia" w:ascii="宋体" w:hAnsi="宋体" w:cs="宋体"/>
                <w:kern w:val="0"/>
                <w:sz w:val="20"/>
                <w:szCs w:val="20"/>
              </w:rPr>
              <w:t>（重点预算支出</w:t>
            </w:r>
            <w:r>
              <w:rPr>
                <w:rFonts w:ascii="宋体" w:hAnsi="宋体" w:cs="宋体"/>
                <w:kern w:val="0"/>
                <w:sz w:val="20"/>
                <w:szCs w:val="20"/>
              </w:rPr>
              <w:t>/</w:t>
            </w:r>
            <w:r>
              <w:rPr>
                <w:rFonts w:hint="eastAsia" w:ascii="宋体" w:hAnsi="宋体" w:cs="宋体"/>
                <w:kern w:val="0"/>
                <w:sz w:val="20"/>
                <w:szCs w:val="20"/>
              </w:rPr>
              <w:t>预算总支出）×</w:t>
            </w:r>
            <w:r>
              <w:rPr>
                <w:rFonts w:ascii="宋体" w:hAnsi="宋体" w:cs="宋体"/>
                <w:kern w:val="0"/>
                <w:sz w:val="20"/>
                <w:szCs w:val="20"/>
              </w:rPr>
              <w:t>100%</w:t>
            </w:r>
            <w:r>
              <w:rPr>
                <w:rFonts w:hint="eastAsia" w:ascii="宋体" w:hAnsi="宋体" w:cs="宋体"/>
                <w:kern w:val="0"/>
                <w:sz w:val="20"/>
                <w:szCs w:val="20"/>
              </w:rPr>
              <w:t>。</w:t>
            </w:r>
            <w:r>
              <w:rPr>
                <w:rFonts w:ascii="宋体" w:cs="宋体"/>
                <w:kern w:val="0"/>
                <w:sz w:val="20"/>
                <w:szCs w:val="20"/>
              </w:rPr>
              <w:br w:type="textWrapping"/>
            </w:r>
            <w:r>
              <w:rPr>
                <w:rFonts w:ascii="宋体" w:hAnsi="宋体" w:cs="宋体"/>
                <w:kern w:val="0"/>
                <w:sz w:val="20"/>
                <w:szCs w:val="20"/>
              </w:rPr>
              <w:t xml:space="preserve">  </w:t>
            </w:r>
            <w:r>
              <w:rPr>
                <w:rFonts w:hint="eastAsia" w:ascii="宋体" w:hAnsi="宋体" w:cs="宋体"/>
                <w:kern w:val="0"/>
                <w:sz w:val="20"/>
                <w:szCs w:val="20"/>
              </w:rPr>
              <w:t>重点预算支出</w:t>
            </w:r>
            <w:r>
              <w:rPr>
                <w:rFonts w:ascii="宋体" w:hAnsi="宋体" w:cs="宋体"/>
                <w:kern w:val="0"/>
                <w:sz w:val="20"/>
                <w:szCs w:val="20"/>
              </w:rPr>
              <w:t xml:space="preserve">: </w:t>
            </w:r>
            <w:r>
              <w:rPr>
                <w:rFonts w:hint="eastAsia" w:ascii="宋体" w:hAnsi="宋体" w:cs="宋体"/>
                <w:kern w:val="0"/>
                <w:sz w:val="20"/>
                <w:szCs w:val="20"/>
              </w:rPr>
              <w:t>部门年度预算安排的，与本部门履职和发展密切相关、具有明显社会和经济影响、党委政府关心或社会比较关注的预算支出总额。</w:t>
            </w:r>
            <w:r>
              <w:rPr>
                <w:rFonts w:ascii="宋体" w:cs="宋体"/>
                <w:kern w:val="0"/>
                <w:sz w:val="20"/>
                <w:szCs w:val="20"/>
              </w:rPr>
              <w:br w:type="textWrapping"/>
            </w:r>
            <w:r>
              <w:rPr>
                <w:rFonts w:ascii="宋体" w:hAnsi="宋体" w:cs="宋体"/>
                <w:kern w:val="0"/>
                <w:sz w:val="20"/>
                <w:szCs w:val="20"/>
              </w:rPr>
              <w:t xml:space="preserve">  </w:t>
            </w:r>
            <w:r>
              <w:rPr>
                <w:rFonts w:hint="eastAsia" w:ascii="宋体" w:hAnsi="宋体" w:cs="宋体"/>
                <w:kern w:val="0"/>
                <w:sz w:val="20"/>
                <w:szCs w:val="20"/>
              </w:rPr>
              <w:t>预算总支出：部门年度预算安排的预算支出总额。</w:t>
            </w:r>
          </w:p>
        </w:tc>
        <w:tc>
          <w:tcPr>
            <w:tcW w:w="2500" w:type="dxa"/>
            <w:tcBorders>
              <w:top w:val="nil"/>
              <w:left w:val="nil"/>
              <w:bottom w:val="single" w:color="auto" w:sz="4" w:space="0"/>
              <w:right w:val="single" w:color="auto" w:sz="4" w:space="0"/>
            </w:tcBorders>
            <w:noWrap w:val="0"/>
            <w:vAlign w:val="center"/>
          </w:tcPr>
          <w:p>
            <w:pPr>
              <w:widowControl/>
              <w:jc w:val="left"/>
              <w:rPr>
                <w:rFonts w:ascii="宋体" w:cs="宋体"/>
                <w:kern w:val="0"/>
                <w:sz w:val="20"/>
                <w:szCs w:val="20"/>
              </w:rPr>
            </w:pPr>
            <w:r>
              <w:rPr>
                <w:rFonts w:hint="eastAsia" w:ascii="宋体" w:hAnsi="宋体" w:cs="宋体"/>
                <w:kern w:val="0"/>
                <w:sz w:val="20"/>
                <w:szCs w:val="20"/>
              </w:rPr>
              <w:t>重点支出安排率≥</w:t>
            </w:r>
            <w:r>
              <w:rPr>
                <w:rFonts w:ascii="宋体" w:hAnsi="宋体" w:cs="宋体"/>
                <w:kern w:val="0"/>
                <w:sz w:val="20"/>
                <w:szCs w:val="20"/>
              </w:rPr>
              <w:t>90%,</w:t>
            </w:r>
            <w:r>
              <w:rPr>
                <w:rFonts w:hint="eastAsia" w:ascii="宋体" w:hAnsi="宋体" w:cs="宋体"/>
                <w:kern w:val="0"/>
                <w:sz w:val="20"/>
                <w:szCs w:val="20"/>
              </w:rPr>
              <w:t>得</w:t>
            </w:r>
            <w:r>
              <w:rPr>
                <w:rFonts w:ascii="宋体" w:hAnsi="宋体" w:cs="宋体"/>
                <w:kern w:val="0"/>
                <w:sz w:val="20"/>
                <w:szCs w:val="20"/>
              </w:rPr>
              <w:t>3</w:t>
            </w:r>
            <w:r>
              <w:rPr>
                <w:rFonts w:hint="eastAsia" w:ascii="宋体" w:hAnsi="宋体" w:cs="宋体"/>
                <w:kern w:val="0"/>
                <w:sz w:val="20"/>
                <w:szCs w:val="20"/>
              </w:rPr>
              <w:t>分；</w:t>
            </w:r>
            <w:r>
              <w:rPr>
                <w:rFonts w:ascii="宋体" w:hAnsi="宋体" w:cs="宋体"/>
                <w:kern w:val="0"/>
                <w:sz w:val="20"/>
                <w:szCs w:val="20"/>
              </w:rPr>
              <w:t>80%</w:t>
            </w:r>
            <w:r>
              <w:rPr>
                <w:rFonts w:hint="eastAsia" w:ascii="宋体" w:hAnsi="宋体" w:cs="宋体"/>
                <w:kern w:val="0"/>
                <w:sz w:val="20"/>
                <w:szCs w:val="20"/>
              </w:rPr>
              <w:t>（含）</w:t>
            </w:r>
            <w:r>
              <w:rPr>
                <w:rFonts w:ascii="宋体" w:hAnsi="宋体" w:cs="宋体"/>
                <w:kern w:val="0"/>
                <w:sz w:val="20"/>
                <w:szCs w:val="20"/>
              </w:rPr>
              <w:t>-90%</w:t>
            </w:r>
            <w:r>
              <w:rPr>
                <w:rFonts w:hint="eastAsia" w:ascii="宋体" w:hAnsi="宋体" w:cs="宋体"/>
                <w:kern w:val="0"/>
                <w:sz w:val="20"/>
                <w:szCs w:val="20"/>
              </w:rPr>
              <w:t>，得</w:t>
            </w:r>
            <w:r>
              <w:rPr>
                <w:rFonts w:ascii="宋体" w:hAnsi="宋体" w:cs="宋体"/>
                <w:kern w:val="0"/>
                <w:sz w:val="20"/>
                <w:szCs w:val="20"/>
              </w:rPr>
              <w:t>2</w:t>
            </w:r>
            <w:r>
              <w:rPr>
                <w:rFonts w:hint="eastAsia" w:ascii="宋体" w:hAnsi="宋体" w:cs="宋体"/>
                <w:kern w:val="0"/>
                <w:sz w:val="20"/>
                <w:szCs w:val="20"/>
              </w:rPr>
              <w:t>分；</w:t>
            </w:r>
            <w:r>
              <w:rPr>
                <w:rFonts w:ascii="宋体" w:cs="宋体"/>
                <w:kern w:val="0"/>
                <w:sz w:val="20"/>
                <w:szCs w:val="20"/>
              </w:rPr>
              <w:br w:type="textWrapping"/>
            </w:r>
            <w:r>
              <w:rPr>
                <w:rFonts w:ascii="宋体" w:hAnsi="宋体" w:cs="宋体"/>
                <w:kern w:val="0"/>
                <w:sz w:val="20"/>
                <w:szCs w:val="20"/>
              </w:rPr>
              <w:t>70%</w:t>
            </w:r>
            <w:r>
              <w:rPr>
                <w:rFonts w:hint="eastAsia" w:ascii="宋体" w:hAnsi="宋体" w:cs="宋体"/>
                <w:kern w:val="0"/>
                <w:sz w:val="20"/>
                <w:szCs w:val="20"/>
              </w:rPr>
              <w:t>（含）</w:t>
            </w:r>
            <w:r>
              <w:rPr>
                <w:rFonts w:ascii="宋体" w:hAnsi="宋体" w:cs="宋体"/>
                <w:kern w:val="0"/>
                <w:sz w:val="20"/>
                <w:szCs w:val="20"/>
              </w:rPr>
              <w:t>-80%</w:t>
            </w:r>
            <w:r>
              <w:rPr>
                <w:rFonts w:hint="eastAsia" w:ascii="宋体" w:hAnsi="宋体" w:cs="宋体"/>
                <w:kern w:val="0"/>
                <w:sz w:val="20"/>
                <w:szCs w:val="20"/>
              </w:rPr>
              <w:t>，得</w:t>
            </w:r>
            <w:r>
              <w:rPr>
                <w:rFonts w:ascii="宋体" w:hAnsi="宋体" w:cs="宋体"/>
                <w:kern w:val="0"/>
                <w:sz w:val="20"/>
                <w:szCs w:val="20"/>
              </w:rPr>
              <w:t>1</w:t>
            </w:r>
            <w:r>
              <w:rPr>
                <w:rFonts w:hint="eastAsia" w:ascii="宋体" w:hAnsi="宋体" w:cs="宋体"/>
                <w:kern w:val="0"/>
                <w:sz w:val="20"/>
                <w:szCs w:val="20"/>
              </w:rPr>
              <w:t>分；</w:t>
            </w:r>
            <w:r>
              <w:rPr>
                <w:rFonts w:ascii="宋体" w:cs="宋体"/>
                <w:kern w:val="0"/>
                <w:sz w:val="20"/>
                <w:szCs w:val="20"/>
              </w:rPr>
              <w:br w:type="textWrapping"/>
            </w:r>
            <w:r>
              <w:rPr>
                <w:rFonts w:ascii="宋体" w:hAnsi="宋体" w:cs="宋体"/>
                <w:kern w:val="0"/>
                <w:sz w:val="20"/>
                <w:szCs w:val="20"/>
              </w:rPr>
              <w:t>60%</w:t>
            </w:r>
            <w:r>
              <w:rPr>
                <w:rFonts w:hint="eastAsia" w:ascii="宋体" w:hAnsi="宋体" w:cs="宋体"/>
                <w:kern w:val="0"/>
                <w:sz w:val="20"/>
                <w:szCs w:val="20"/>
              </w:rPr>
              <w:t>（含）</w:t>
            </w:r>
            <w:r>
              <w:rPr>
                <w:rFonts w:ascii="宋体" w:hAnsi="宋体" w:cs="宋体"/>
                <w:kern w:val="0"/>
                <w:sz w:val="20"/>
                <w:szCs w:val="20"/>
              </w:rPr>
              <w:t>-70%</w:t>
            </w:r>
            <w:r>
              <w:rPr>
                <w:rFonts w:hint="eastAsia" w:ascii="宋体" w:hAnsi="宋体" w:cs="宋体"/>
                <w:kern w:val="0"/>
                <w:sz w:val="20"/>
                <w:szCs w:val="20"/>
              </w:rPr>
              <w:t>，得</w:t>
            </w:r>
            <w:r>
              <w:rPr>
                <w:rFonts w:ascii="宋体" w:hAnsi="宋体" w:cs="宋体"/>
                <w:kern w:val="0"/>
                <w:sz w:val="20"/>
                <w:szCs w:val="20"/>
              </w:rPr>
              <w:t>0.5</w:t>
            </w:r>
            <w:r>
              <w:rPr>
                <w:rFonts w:hint="eastAsia" w:ascii="宋体" w:hAnsi="宋体" w:cs="宋体"/>
                <w:kern w:val="0"/>
                <w:sz w:val="20"/>
                <w:szCs w:val="20"/>
              </w:rPr>
              <w:t>分；</w:t>
            </w:r>
            <w:r>
              <w:rPr>
                <w:rFonts w:ascii="宋体" w:cs="宋体"/>
                <w:kern w:val="0"/>
                <w:sz w:val="20"/>
                <w:szCs w:val="20"/>
              </w:rPr>
              <w:br w:type="textWrapping"/>
            </w:r>
            <w:r>
              <w:rPr>
                <w:rFonts w:hint="eastAsia" w:ascii="宋体" w:hAnsi="宋体" w:cs="宋体"/>
                <w:kern w:val="0"/>
                <w:sz w:val="20"/>
                <w:szCs w:val="20"/>
              </w:rPr>
              <w:t>＜</w:t>
            </w:r>
            <w:r>
              <w:rPr>
                <w:rFonts w:ascii="宋体" w:hAnsi="宋体" w:cs="宋体"/>
                <w:kern w:val="0"/>
                <w:sz w:val="20"/>
                <w:szCs w:val="20"/>
              </w:rPr>
              <w:t>60%</w:t>
            </w:r>
            <w:r>
              <w:rPr>
                <w:rFonts w:hint="eastAsia" w:ascii="宋体" w:hAnsi="宋体" w:cs="宋体"/>
                <w:kern w:val="0"/>
                <w:sz w:val="20"/>
                <w:szCs w:val="20"/>
              </w:rPr>
              <w:t>，得</w:t>
            </w:r>
            <w:r>
              <w:rPr>
                <w:rFonts w:ascii="宋体" w:hAnsi="宋体" w:cs="宋体"/>
                <w:kern w:val="0"/>
                <w:sz w:val="20"/>
                <w:szCs w:val="20"/>
              </w:rPr>
              <w:t>0</w:t>
            </w:r>
            <w:r>
              <w:rPr>
                <w:rFonts w:hint="eastAsia" w:ascii="宋体" w:hAnsi="宋体" w:cs="宋体"/>
                <w:kern w:val="0"/>
                <w:sz w:val="20"/>
                <w:szCs w:val="20"/>
              </w:rPr>
              <w:t>分。</w:t>
            </w:r>
          </w:p>
        </w:tc>
        <w:tc>
          <w:tcPr>
            <w:tcW w:w="860" w:type="dxa"/>
            <w:tcBorders>
              <w:top w:val="nil"/>
              <w:left w:val="nil"/>
              <w:bottom w:val="single" w:color="auto" w:sz="4" w:space="0"/>
              <w:right w:val="single" w:color="auto" w:sz="4" w:space="0"/>
            </w:tcBorders>
            <w:noWrap w:val="0"/>
            <w:vAlign w:val="center"/>
          </w:tcPr>
          <w:p>
            <w:pPr>
              <w:widowControl/>
              <w:jc w:val="center"/>
              <w:rPr>
                <w:rFonts w:ascii="宋体" w:cs="宋体"/>
                <w:kern w:val="0"/>
                <w:sz w:val="24"/>
                <w:szCs w:val="24"/>
              </w:rPr>
            </w:pPr>
            <w:r>
              <w:rPr>
                <w:rFonts w:ascii="宋体" w:hAnsi="宋体" w:cs="宋体"/>
                <w:kern w:val="0"/>
                <w:sz w:val="24"/>
                <w:szCs w:val="24"/>
              </w:rPr>
              <w:t>1</w:t>
            </w:r>
          </w:p>
        </w:tc>
      </w:tr>
      <w:tr>
        <w:tblPrEx>
          <w:tblCellMar>
            <w:top w:w="0" w:type="dxa"/>
            <w:left w:w="108" w:type="dxa"/>
            <w:bottom w:w="0" w:type="dxa"/>
            <w:right w:w="108" w:type="dxa"/>
          </w:tblCellMar>
        </w:tblPrEx>
        <w:trPr>
          <w:trHeight w:val="1260" w:hRule="atLeast"/>
        </w:trPr>
        <w:tc>
          <w:tcPr>
            <w:tcW w:w="620" w:type="dxa"/>
            <w:vMerge w:val="restart"/>
            <w:tcBorders>
              <w:top w:val="nil"/>
              <w:left w:val="single" w:color="auto" w:sz="4" w:space="0"/>
              <w:bottom w:val="single" w:color="000000" w:sz="4" w:space="0"/>
              <w:right w:val="single" w:color="auto" w:sz="4" w:space="0"/>
            </w:tcBorders>
            <w:noWrap w:val="0"/>
            <w:vAlign w:val="center"/>
          </w:tcPr>
          <w:p>
            <w:pPr>
              <w:widowControl/>
              <w:jc w:val="center"/>
              <w:rPr>
                <w:rFonts w:ascii="宋体" w:cs="宋体"/>
                <w:kern w:val="0"/>
                <w:sz w:val="20"/>
                <w:szCs w:val="20"/>
              </w:rPr>
            </w:pPr>
            <w:r>
              <w:rPr>
                <w:rFonts w:hint="eastAsia" w:ascii="宋体" w:hAnsi="宋体" w:cs="宋体"/>
                <w:kern w:val="0"/>
                <w:sz w:val="20"/>
                <w:szCs w:val="20"/>
              </w:rPr>
              <w:t>过</w:t>
            </w:r>
            <w:r>
              <w:rPr>
                <w:rFonts w:ascii="宋体" w:hAnsi="宋体" w:cs="宋体"/>
                <w:kern w:val="0"/>
                <w:sz w:val="20"/>
                <w:szCs w:val="20"/>
              </w:rPr>
              <w:t xml:space="preserve">                                                                                                                                       </w:t>
            </w:r>
            <w:r>
              <w:rPr>
                <w:rFonts w:hint="eastAsia" w:ascii="宋体" w:hAnsi="宋体" w:cs="宋体"/>
                <w:kern w:val="0"/>
                <w:sz w:val="20"/>
                <w:szCs w:val="20"/>
              </w:rPr>
              <w:t>程</w:t>
            </w:r>
          </w:p>
        </w:tc>
        <w:tc>
          <w:tcPr>
            <w:tcW w:w="620"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ascii="宋体" w:cs="宋体"/>
                <w:kern w:val="0"/>
                <w:sz w:val="20"/>
                <w:szCs w:val="20"/>
              </w:rPr>
            </w:pPr>
            <w:r>
              <w:rPr>
                <w:rFonts w:hint="eastAsia" w:ascii="宋体" w:hAnsi="宋体" w:cs="宋体"/>
                <w:kern w:val="0"/>
                <w:sz w:val="20"/>
                <w:szCs w:val="20"/>
              </w:rPr>
              <w:t>预算执行</w:t>
            </w:r>
          </w:p>
        </w:tc>
        <w:tc>
          <w:tcPr>
            <w:tcW w:w="880" w:type="dxa"/>
            <w:tcBorders>
              <w:top w:val="nil"/>
              <w:left w:val="nil"/>
              <w:bottom w:val="single" w:color="auto" w:sz="4" w:space="0"/>
              <w:right w:val="single" w:color="auto" w:sz="4" w:space="0"/>
            </w:tcBorders>
            <w:noWrap w:val="0"/>
            <w:vAlign w:val="center"/>
          </w:tcPr>
          <w:p>
            <w:pPr>
              <w:widowControl/>
              <w:jc w:val="left"/>
              <w:rPr>
                <w:rFonts w:ascii="宋体" w:cs="宋体"/>
                <w:kern w:val="0"/>
                <w:sz w:val="20"/>
                <w:szCs w:val="20"/>
              </w:rPr>
            </w:pPr>
            <w:r>
              <w:rPr>
                <w:rFonts w:hint="eastAsia" w:ascii="宋体" w:hAnsi="宋体" w:cs="宋体"/>
                <w:kern w:val="0"/>
                <w:sz w:val="20"/>
                <w:szCs w:val="20"/>
              </w:rPr>
              <w:t>预算执行率</w:t>
            </w:r>
          </w:p>
        </w:tc>
        <w:tc>
          <w:tcPr>
            <w:tcW w:w="420" w:type="dxa"/>
            <w:tcBorders>
              <w:top w:val="nil"/>
              <w:left w:val="nil"/>
              <w:bottom w:val="single" w:color="auto" w:sz="4" w:space="0"/>
              <w:right w:val="single" w:color="auto" w:sz="4" w:space="0"/>
            </w:tcBorders>
            <w:noWrap w:val="0"/>
            <w:vAlign w:val="center"/>
          </w:tcPr>
          <w:p>
            <w:pPr>
              <w:widowControl/>
              <w:jc w:val="center"/>
              <w:rPr>
                <w:rFonts w:ascii="宋体" w:cs="宋体"/>
                <w:kern w:val="0"/>
                <w:sz w:val="20"/>
                <w:szCs w:val="20"/>
              </w:rPr>
            </w:pPr>
            <w:r>
              <w:rPr>
                <w:rFonts w:ascii="宋体" w:hAnsi="宋体" w:cs="宋体"/>
                <w:kern w:val="0"/>
                <w:sz w:val="20"/>
                <w:szCs w:val="20"/>
              </w:rPr>
              <w:t>3</w:t>
            </w:r>
          </w:p>
        </w:tc>
        <w:tc>
          <w:tcPr>
            <w:tcW w:w="3820" w:type="dxa"/>
            <w:tcBorders>
              <w:top w:val="nil"/>
              <w:left w:val="nil"/>
              <w:bottom w:val="single" w:color="auto" w:sz="4" w:space="0"/>
              <w:right w:val="single" w:color="auto" w:sz="4" w:space="0"/>
            </w:tcBorders>
            <w:noWrap w:val="0"/>
            <w:vAlign w:val="center"/>
          </w:tcPr>
          <w:p>
            <w:pPr>
              <w:widowControl/>
              <w:jc w:val="left"/>
              <w:rPr>
                <w:rFonts w:ascii="宋体" w:cs="宋体"/>
                <w:kern w:val="0"/>
                <w:sz w:val="20"/>
                <w:szCs w:val="20"/>
              </w:rPr>
            </w:pPr>
            <w:r>
              <w:rPr>
                <w:rFonts w:ascii="宋体" w:hAnsi="宋体" w:cs="宋体"/>
                <w:kern w:val="0"/>
                <w:sz w:val="20"/>
                <w:szCs w:val="20"/>
              </w:rPr>
              <w:t xml:space="preserve">  </w:t>
            </w:r>
            <w:r>
              <w:rPr>
                <w:rFonts w:hint="eastAsia" w:ascii="宋体" w:hAnsi="宋体" w:cs="宋体"/>
                <w:kern w:val="0"/>
                <w:sz w:val="20"/>
                <w:szCs w:val="20"/>
              </w:rPr>
              <w:t>部门本年度预算完成数与预算数的比率，用以反映和考核部门预算完成程度。</w:t>
            </w:r>
            <w:r>
              <w:rPr>
                <w:rFonts w:ascii="宋体" w:cs="宋体"/>
                <w:kern w:val="0"/>
                <w:sz w:val="20"/>
                <w:szCs w:val="20"/>
              </w:rPr>
              <w:br w:type="textWrapping"/>
            </w:r>
            <w:r>
              <w:rPr>
                <w:rFonts w:ascii="宋体" w:hAnsi="宋体" w:cs="宋体"/>
                <w:kern w:val="0"/>
                <w:sz w:val="20"/>
                <w:szCs w:val="20"/>
              </w:rPr>
              <w:t xml:space="preserve"> </w:t>
            </w:r>
            <w:r>
              <w:rPr>
                <w:rFonts w:hint="eastAsia" w:ascii="宋体" w:hAnsi="宋体" w:cs="宋体"/>
                <w:kern w:val="0"/>
                <w:sz w:val="20"/>
                <w:szCs w:val="20"/>
              </w:rPr>
              <w:t>预算执行率</w:t>
            </w:r>
            <w:r>
              <w:rPr>
                <w:rFonts w:ascii="宋体" w:hAnsi="宋体" w:cs="宋体"/>
                <w:kern w:val="0"/>
                <w:sz w:val="20"/>
                <w:szCs w:val="20"/>
              </w:rPr>
              <w:t>=</w:t>
            </w:r>
            <w:r>
              <w:rPr>
                <w:rFonts w:hint="eastAsia" w:ascii="宋体" w:hAnsi="宋体" w:cs="宋体"/>
                <w:kern w:val="0"/>
                <w:sz w:val="20"/>
                <w:szCs w:val="20"/>
              </w:rPr>
              <w:t>（预算执行数</w:t>
            </w:r>
            <w:r>
              <w:rPr>
                <w:rFonts w:ascii="宋体" w:hAnsi="宋体" w:cs="宋体"/>
                <w:kern w:val="0"/>
                <w:sz w:val="20"/>
                <w:szCs w:val="20"/>
              </w:rPr>
              <w:t>/</w:t>
            </w:r>
            <w:r>
              <w:rPr>
                <w:rFonts w:hint="eastAsia" w:ascii="宋体" w:hAnsi="宋体" w:cs="宋体"/>
                <w:kern w:val="0"/>
                <w:sz w:val="20"/>
                <w:szCs w:val="20"/>
              </w:rPr>
              <w:t>预算数）×</w:t>
            </w:r>
            <w:r>
              <w:rPr>
                <w:rFonts w:ascii="宋体" w:hAnsi="宋体" w:cs="宋体"/>
                <w:kern w:val="0"/>
                <w:sz w:val="20"/>
                <w:szCs w:val="20"/>
              </w:rPr>
              <w:t>100%</w:t>
            </w:r>
            <w:r>
              <w:rPr>
                <w:rFonts w:hint="eastAsia" w:ascii="宋体" w:hAnsi="宋体" w:cs="宋体"/>
                <w:kern w:val="0"/>
                <w:sz w:val="20"/>
                <w:szCs w:val="20"/>
              </w:rPr>
              <w:t>。</w:t>
            </w:r>
            <w:r>
              <w:rPr>
                <w:rFonts w:ascii="宋体" w:cs="宋体"/>
                <w:kern w:val="0"/>
                <w:sz w:val="20"/>
                <w:szCs w:val="20"/>
              </w:rPr>
              <w:br w:type="textWrapping"/>
            </w:r>
            <w:r>
              <w:rPr>
                <w:rFonts w:ascii="宋体" w:hAnsi="宋体" w:cs="宋体"/>
                <w:kern w:val="0"/>
                <w:sz w:val="20"/>
                <w:szCs w:val="20"/>
              </w:rPr>
              <w:t xml:space="preserve"> </w:t>
            </w:r>
            <w:r>
              <w:rPr>
                <w:rFonts w:hint="eastAsia" w:ascii="宋体" w:hAnsi="宋体" w:cs="宋体"/>
                <w:kern w:val="0"/>
                <w:sz w:val="20"/>
                <w:szCs w:val="20"/>
              </w:rPr>
              <w:t>预算执行数：部门本年度实际完成的预算数。</w:t>
            </w:r>
            <w:r>
              <w:rPr>
                <w:rFonts w:ascii="宋体" w:cs="宋体"/>
                <w:kern w:val="0"/>
                <w:sz w:val="20"/>
                <w:szCs w:val="20"/>
              </w:rPr>
              <w:br w:type="textWrapping"/>
            </w:r>
            <w:r>
              <w:rPr>
                <w:rFonts w:ascii="宋体" w:hAnsi="宋体" w:cs="宋体"/>
                <w:kern w:val="0"/>
                <w:sz w:val="20"/>
                <w:szCs w:val="20"/>
              </w:rPr>
              <w:t xml:space="preserve"> </w:t>
            </w:r>
            <w:r>
              <w:rPr>
                <w:rFonts w:hint="eastAsia" w:ascii="宋体" w:hAnsi="宋体" w:cs="宋体"/>
                <w:kern w:val="0"/>
                <w:sz w:val="20"/>
                <w:szCs w:val="20"/>
              </w:rPr>
              <w:t>预算数：财政部门批复的本年度部门预算数。</w:t>
            </w:r>
          </w:p>
        </w:tc>
        <w:tc>
          <w:tcPr>
            <w:tcW w:w="2500" w:type="dxa"/>
            <w:tcBorders>
              <w:top w:val="nil"/>
              <w:left w:val="nil"/>
              <w:bottom w:val="single" w:color="auto" w:sz="4" w:space="0"/>
              <w:right w:val="single" w:color="auto" w:sz="4" w:space="0"/>
            </w:tcBorders>
            <w:noWrap w:val="0"/>
            <w:vAlign w:val="center"/>
          </w:tcPr>
          <w:p>
            <w:pPr>
              <w:widowControl/>
              <w:jc w:val="left"/>
              <w:rPr>
                <w:rFonts w:ascii="宋体" w:cs="宋体"/>
                <w:kern w:val="0"/>
                <w:sz w:val="20"/>
                <w:szCs w:val="20"/>
              </w:rPr>
            </w:pPr>
            <w:r>
              <w:rPr>
                <w:rFonts w:hint="eastAsia" w:ascii="宋体" w:hAnsi="宋体" w:cs="宋体"/>
                <w:kern w:val="0"/>
                <w:sz w:val="20"/>
                <w:szCs w:val="20"/>
              </w:rPr>
              <w:t>预算执行率≧</w:t>
            </w:r>
            <w:r>
              <w:rPr>
                <w:rFonts w:ascii="宋体" w:hAnsi="宋体" w:cs="宋体"/>
                <w:kern w:val="0"/>
                <w:sz w:val="20"/>
                <w:szCs w:val="20"/>
              </w:rPr>
              <w:t>95%</w:t>
            </w:r>
            <w:r>
              <w:rPr>
                <w:rFonts w:hint="eastAsia" w:ascii="宋体" w:hAnsi="宋体" w:cs="宋体"/>
                <w:kern w:val="0"/>
                <w:sz w:val="20"/>
                <w:szCs w:val="20"/>
              </w:rPr>
              <w:t>，得</w:t>
            </w:r>
            <w:r>
              <w:rPr>
                <w:rFonts w:ascii="宋体" w:hAnsi="宋体" w:cs="宋体"/>
                <w:kern w:val="0"/>
                <w:sz w:val="20"/>
                <w:szCs w:val="20"/>
              </w:rPr>
              <w:t>3</w:t>
            </w:r>
            <w:r>
              <w:rPr>
                <w:rFonts w:hint="eastAsia" w:ascii="宋体" w:hAnsi="宋体" w:cs="宋体"/>
                <w:kern w:val="0"/>
                <w:sz w:val="20"/>
                <w:szCs w:val="20"/>
              </w:rPr>
              <w:t>分；</w:t>
            </w:r>
            <w:r>
              <w:rPr>
                <w:rFonts w:ascii="宋体" w:cs="宋体"/>
                <w:kern w:val="0"/>
                <w:sz w:val="20"/>
                <w:szCs w:val="20"/>
              </w:rPr>
              <w:br w:type="textWrapping"/>
            </w:r>
            <w:r>
              <w:rPr>
                <w:rFonts w:ascii="宋体" w:hAnsi="宋体" w:cs="宋体"/>
                <w:kern w:val="0"/>
                <w:sz w:val="20"/>
                <w:szCs w:val="20"/>
              </w:rPr>
              <w:t>90%</w:t>
            </w:r>
            <w:r>
              <w:rPr>
                <w:rFonts w:hint="eastAsia" w:ascii="宋体" w:hAnsi="宋体" w:cs="宋体"/>
                <w:kern w:val="0"/>
                <w:sz w:val="20"/>
                <w:szCs w:val="20"/>
              </w:rPr>
              <w:t>（含）</w:t>
            </w:r>
            <w:r>
              <w:rPr>
                <w:rFonts w:ascii="宋体" w:hAnsi="宋体" w:cs="宋体"/>
                <w:kern w:val="0"/>
                <w:sz w:val="20"/>
                <w:szCs w:val="20"/>
              </w:rPr>
              <w:t>-95%</w:t>
            </w:r>
            <w:r>
              <w:rPr>
                <w:rFonts w:hint="eastAsia" w:ascii="宋体" w:hAnsi="宋体" w:cs="宋体"/>
                <w:kern w:val="0"/>
                <w:sz w:val="20"/>
                <w:szCs w:val="20"/>
              </w:rPr>
              <w:t>，得</w:t>
            </w:r>
            <w:r>
              <w:rPr>
                <w:rFonts w:ascii="宋体" w:hAnsi="宋体" w:cs="宋体"/>
                <w:kern w:val="0"/>
                <w:sz w:val="20"/>
                <w:szCs w:val="20"/>
              </w:rPr>
              <w:t>2</w:t>
            </w:r>
            <w:r>
              <w:rPr>
                <w:rFonts w:hint="eastAsia" w:ascii="宋体" w:hAnsi="宋体" w:cs="宋体"/>
                <w:kern w:val="0"/>
                <w:sz w:val="20"/>
                <w:szCs w:val="20"/>
              </w:rPr>
              <w:t>分；</w:t>
            </w:r>
            <w:r>
              <w:rPr>
                <w:rFonts w:ascii="宋体" w:cs="宋体"/>
                <w:kern w:val="0"/>
                <w:sz w:val="20"/>
                <w:szCs w:val="20"/>
              </w:rPr>
              <w:br w:type="textWrapping"/>
            </w:r>
            <w:r>
              <w:rPr>
                <w:rFonts w:ascii="宋体" w:hAnsi="宋体" w:cs="宋体"/>
                <w:kern w:val="0"/>
                <w:sz w:val="20"/>
                <w:szCs w:val="20"/>
              </w:rPr>
              <w:t>85%</w:t>
            </w:r>
            <w:r>
              <w:rPr>
                <w:rFonts w:hint="eastAsia" w:ascii="宋体" w:hAnsi="宋体" w:cs="宋体"/>
                <w:kern w:val="0"/>
                <w:sz w:val="20"/>
                <w:szCs w:val="20"/>
              </w:rPr>
              <w:t>（含）</w:t>
            </w:r>
            <w:r>
              <w:rPr>
                <w:rFonts w:ascii="宋体" w:hAnsi="宋体" w:cs="宋体"/>
                <w:kern w:val="0"/>
                <w:sz w:val="20"/>
                <w:szCs w:val="20"/>
              </w:rPr>
              <w:t>-90%</w:t>
            </w:r>
            <w:r>
              <w:rPr>
                <w:rFonts w:hint="eastAsia" w:ascii="宋体" w:hAnsi="宋体" w:cs="宋体"/>
                <w:kern w:val="0"/>
                <w:sz w:val="20"/>
                <w:szCs w:val="20"/>
              </w:rPr>
              <w:t>，得</w:t>
            </w:r>
            <w:r>
              <w:rPr>
                <w:rFonts w:ascii="宋体" w:hAnsi="宋体" w:cs="宋体"/>
                <w:kern w:val="0"/>
                <w:sz w:val="20"/>
                <w:szCs w:val="20"/>
              </w:rPr>
              <w:t>1</w:t>
            </w:r>
            <w:r>
              <w:rPr>
                <w:rFonts w:hint="eastAsia" w:ascii="宋体" w:hAnsi="宋体" w:cs="宋体"/>
                <w:kern w:val="0"/>
                <w:sz w:val="20"/>
                <w:szCs w:val="20"/>
              </w:rPr>
              <w:t>分；</w:t>
            </w:r>
            <w:r>
              <w:rPr>
                <w:rFonts w:ascii="宋体" w:cs="宋体"/>
                <w:kern w:val="0"/>
                <w:sz w:val="20"/>
                <w:szCs w:val="20"/>
              </w:rPr>
              <w:br w:type="textWrapping"/>
            </w:r>
            <w:r>
              <w:rPr>
                <w:rFonts w:ascii="宋体" w:hAnsi="宋体" w:cs="宋体"/>
                <w:kern w:val="0"/>
                <w:sz w:val="20"/>
                <w:szCs w:val="20"/>
              </w:rPr>
              <w:t>80%</w:t>
            </w:r>
            <w:r>
              <w:rPr>
                <w:rFonts w:hint="eastAsia" w:ascii="宋体" w:hAnsi="宋体" w:cs="宋体"/>
                <w:kern w:val="0"/>
                <w:sz w:val="20"/>
                <w:szCs w:val="20"/>
              </w:rPr>
              <w:t>（含）</w:t>
            </w:r>
            <w:r>
              <w:rPr>
                <w:rFonts w:ascii="宋体" w:hAnsi="宋体" w:cs="宋体"/>
                <w:kern w:val="0"/>
                <w:sz w:val="20"/>
                <w:szCs w:val="20"/>
              </w:rPr>
              <w:t>-85%</w:t>
            </w:r>
            <w:r>
              <w:rPr>
                <w:rFonts w:hint="eastAsia" w:ascii="宋体" w:hAnsi="宋体" w:cs="宋体"/>
                <w:kern w:val="0"/>
                <w:sz w:val="20"/>
                <w:szCs w:val="20"/>
              </w:rPr>
              <w:t>，得</w:t>
            </w:r>
            <w:r>
              <w:rPr>
                <w:rFonts w:ascii="宋体" w:hAnsi="宋体" w:cs="宋体"/>
                <w:kern w:val="0"/>
                <w:sz w:val="20"/>
                <w:szCs w:val="20"/>
              </w:rPr>
              <w:t>0.5</w:t>
            </w:r>
            <w:r>
              <w:rPr>
                <w:rFonts w:hint="eastAsia" w:ascii="宋体" w:hAnsi="宋体" w:cs="宋体"/>
                <w:kern w:val="0"/>
                <w:sz w:val="20"/>
                <w:szCs w:val="20"/>
              </w:rPr>
              <w:t>分；</w:t>
            </w:r>
            <w:r>
              <w:rPr>
                <w:rFonts w:ascii="宋体" w:cs="宋体"/>
                <w:kern w:val="0"/>
                <w:sz w:val="20"/>
                <w:szCs w:val="20"/>
              </w:rPr>
              <w:br w:type="textWrapping"/>
            </w:r>
            <w:r>
              <w:rPr>
                <w:rFonts w:hint="eastAsia" w:ascii="宋体" w:hAnsi="宋体" w:cs="宋体"/>
                <w:kern w:val="0"/>
                <w:sz w:val="20"/>
                <w:szCs w:val="20"/>
              </w:rPr>
              <w:t>＜</w:t>
            </w:r>
            <w:r>
              <w:rPr>
                <w:rFonts w:ascii="宋体" w:hAnsi="宋体" w:cs="宋体"/>
                <w:kern w:val="0"/>
                <w:sz w:val="20"/>
                <w:szCs w:val="20"/>
              </w:rPr>
              <w:t>80%</w:t>
            </w:r>
            <w:r>
              <w:rPr>
                <w:rFonts w:hint="eastAsia" w:ascii="宋体" w:hAnsi="宋体" w:cs="宋体"/>
                <w:kern w:val="0"/>
                <w:sz w:val="20"/>
                <w:szCs w:val="20"/>
              </w:rPr>
              <w:t>，得</w:t>
            </w:r>
            <w:r>
              <w:rPr>
                <w:rFonts w:ascii="宋体" w:hAnsi="宋体" w:cs="宋体"/>
                <w:kern w:val="0"/>
                <w:sz w:val="20"/>
                <w:szCs w:val="20"/>
              </w:rPr>
              <w:t>0</w:t>
            </w:r>
            <w:r>
              <w:rPr>
                <w:rFonts w:hint="eastAsia" w:ascii="宋体" w:hAnsi="宋体" w:cs="宋体"/>
                <w:kern w:val="0"/>
                <w:sz w:val="20"/>
                <w:szCs w:val="20"/>
              </w:rPr>
              <w:t>分。</w:t>
            </w:r>
          </w:p>
        </w:tc>
        <w:tc>
          <w:tcPr>
            <w:tcW w:w="860" w:type="dxa"/>
            <w:tcBorders>
              <w:top w:val="nil"/>
              <w:left w:val="nil"/>
              <w:bottom w:val="single" w:color="auto" w:sz="4" w:space="0"/>
              <w:right w:val="single" w:color="auto" w:sz="4" w:space="0"/>
            </w:tcBorders>
            <w:noWrap w:val="0"/>
            <w:vAlign w:val="center"/>
          </w:tcPr>
          <w:p>
            <w:pPr>
              <w:widowControl/>
              <w:jc w:val="center"/>
              <w:rPr>
                <w:rFonts w:ascii="宋体" w:cs="宋体"/>
                <w:kern w:val="0"/>
                <w:sz w:val="24"/>
                <w:szCs w:val="24"/>
              </w:rPr>
            </w:pPr>
            <w:r>
              <w:rPr>
                <w:rFonts w:ascii="宋体" w:hAnsi="宋体" w:cs="宋体"/>
                <w:kern w:val="0"/>
                <w:sz w:val="24"/>
                <w:szCs w:val="24"/>
              </w:rPr>
              <w:t>3</w:t>
            </w:r>
          </w:p>
        </w:tc>
      </w:tr>
      <w:tr>
        <w:trPr>
          <w:trHeight w:val="1542" w:hRule="atLeast"/>
        </w:trPr>
        <w:tc>
          <w:tcPr>
            <w:tcW w:w="62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cs="宋体"/>
                <w:kern w:val="0"/>
                <w:sz w:val="20"/>
                <w:szCs w:val="20"/>
              </w:rPr>
            </w:pPr>
          </w:p>
        </w:tc>
        <w:tc>
          <w:tcPr>
            <w:tcW w:w="62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cs="宋体"/>
                <w:kern w:val="0"/>
                <w:sz w:val="20"/>
                <w:szCs w:val="20"/>
              </w:rPr>
            </w:pPr>
          </w:p>
        </w:tc>
        <w:tc>
          <w:tcPr>
            <w:tcW w:w="880" w:type="dxa"/>
            <w:tcBorders>
              <w:top w:val="nil"/>
              <w:left w:val="nil"/>
              <w:bottom w:val="single" w:color="auto" w:sz="4" w:space="0"/>
              <w:right w:val="single" w:color="auto" w:sz="4" w:space="0"/>
            </w:tcBorders>
            <w:noWrap w:val="0"/>
            <w:vAlign w:val="center"/>
          </w:tcPr>
          <w:p>
            <w:pPr>
              <w:widowControl/>
              <w:jc w:val="left"/>
              <w:rPr>
                <w:rFonts w:ascii="宋体" w:cs="宋体"/>
                <w:kern w:val="0"/>
                <w:sz w:val="20"/>
                <w:szCs w:val="20"/>
              </w:rPr>
            </w:pPr>
            <w:r>
              <w:rPr>
                <w:rFonts w:hint="eastAsia" w:ascii="宋体" w:hAnsi="宋体" w:cs="宋体"/>
                <w:kern w:val="0"/>
                <w:sz w:val="20"/>
                <w:szCs w:val="20"/>
              </w:rPr>
              <w:t>预算调整率</w:t>
            </w:r>
          </w:p>
        </w:tc>
        <w:tc>
          <w:tcPr>
            <w:tcW w:w="420" w:type="dxa"/>
            <w:tcBorders>
              <w:top w:val="nil"/>
              <w:left w:val="nil"/>
              <w:bottom w:val="single" w:color="auto" w:sz="4" w:space="0"/>
              <w:right w:val="single" w:color="auto" w:sz="4" w:space="0"/>
            </w:tcBorders>
            <w:noWrap w:val="0"/>
            <w:vAlign w:val="center"/>
          </w:tcPr>
          <w:p>
            <w:pPr>
              <w:widowControl/>
              <w:jc w:val="center"/>
              <w:rPr>
                <w:rFonts w:ascii="宋体" w:cs="宋体"/>
                <w:kern w:val="0"/>
                <w:sz w:val="20"/>
                <w:szCs w:val="20"/>
              </w:rPr>
            </w:pPr>
            <w:r>
              <w:rPr>
                <w:rFonts w:ascii="宋体" w:hAnsi="宋体" w:cs="宋体"/>
                <w:kern w:val="0"/>
                <w:sz w:val="20"/>
                <w:szCs w:val="20"/>
              </w:rPr>
              <w:t>2</w:t>
            </w:r>
          </w:p>
        </w:tc>
        <w:tc>
          <w:tcPr>
            <w:tcW w:w="3820" w:type="dxa"/>
            <w:tcBorders>
              <w:top w:val="nil"/>
              <w:left w:val="nil"/>
              <w:bottom w:val="single" w:color="auto" w:sz="4" w:space="0"/>
              <w:right w:val="single" w:color="auto" w:sz="4" w:space="0"/>
            </w:tcBorders>
            <w:noWrap w:val="0"/>
            <w:vAlign w:val="center"/>
          </w:tcPr>
          <w:p>
            <w:pPr>
              <w:widowControl/>
              <w:jc w:val="left"/>
              <w:rPr>
                <w:rFonts w:ascii="宋体" w:cs="宋体"/>
                <w:kern w:val="0"/>
                <w:sz w:val="20"/>
                <w:szCs w:val="20"/>
              </w:rPr>
            </w:pPr>
            <w:r>
              <w:rPr>
                <w:rFonts w:ascii="宋体" w:hAnsi="宋体" w:cs="宋体"/>
                <w:kern w:val="0"/>
                <w:sz w:val="20"/>
                <w:szCs w:val="20"/>
              </w:rPr>
              <w:t xml:space="preserve">  </w:t>
            </w:r>
            <w:r>
              <w:rPr>
                <w:rFonts w:hint="eastAsia" w:ascii="宋体" w:hAnsi="宋体" w:cs="宋体"/>
                <w:kern w:val="0"/>
                <w:sz w:val="20"/>
                <w:szCs w:val="20"/>
              </w:rPr>
              <w:t>部门本年度预算调整数与预算数的比率，用以反映和考核部门预算的调整程度。</w:t>
            </w:r>
            <w:r>
              <w:rPr>
                <w:rFonts w:ascii="宋体" w:hAnsi="宋体" w:cs="宋体"/>
                <w:kern w:val="0"/>
                <w:sz w:val="20"/>
                <w:szCs w:val="20"/>
              </w:rPr>
              <w:t xml:space="preserve">  </w:t>
            </w:r>
            <w:r>
              <w:rPr>
                <w:rFonts w:hint="eastAsia" w:ascii="宋体" w:hAnsi="宋体" w:cs="宋体"/>
                <w:kern w:val="0"/>
                <w:sz w:val="20"/>
                <w:szCs w:val="20"/>
              </w:rPr>
              <w:t>预算调整率</w:t>
            </w:r>
            <w:r>
              <w:rPr>
                <w:rFonts w:ascii="宋体" w:hAnsi="宋体" w:cs="宋体"/>
                <w:kern w:val="0"/>
                <w:sz w:val="20"/>
                <w:szCs w:val="20"/>
              </w:rPr>
              <w:t>=</w:t>
            </w:r>
            <w:r>
              <w:rPr>
                <w:rFonts w:hint="eastAsia" w:ascii="宋体" w:hAnsi="宋体" w:cs="宋体"/>
                <w:kern w:val="0"/>
                <w:sz w:val="20"/>
                <w:szCs w:val="20"/>
              </w:rPr>
              <w:t>（预算调整数</w:t>
            </w:r>
            <w:r>
              <w:rPr>
                <w:rFonts w:ascii="宋体" w:hAnsi="宋体" w:cs="宋体"/>
                <w:kern w:val="0"/>
                <w:sz w:val="20"/>
                <w:szCs w:val="20"/>
              </w:rPr>
              <w:t>/</w:t>
            </w:r>
            <w:r>
              <w:rPr>
                <w:rFonts w:hint="eastAsia" w:ascii="宋体" w:hAnsi="宋体" w:cs="宋体"/>
                <w:kern w:val="0"/>
                <w:sz w:val="20"/>
                <w:szCs w:val="20"/>
              </w:rPr>
              <w:t>预算数）×</w:t>
            </w:r>
            <w:r>
              <w:rPr>
                <w:rFonts w:ascii="宋体" w:hAnsi="宋体" w:cs="宋体"/>
                <w:kern w:val="0"/>
                <w:sz w:val="20"/>
                <w:szCs w:val="20"/>
              </w:rPr>
              <w:t>100%</w:t>
            </w:r>
            <w:r>
              <w:rPr>
                <w:rFonts w:hint="eastAsia" w:ascii="宋体" w:hAnsi="宋体" w:cs="宋体"/>
                <w:kern w:val="0"/>
                <w:sz w:val="20"/>
                <w:szCs w:val="20"/>
              </w:rPr>
              <w:t>。</w:t>
            </w:r>
            <w:r>
              <w:rPr>
                <w:rFonts w:ascii="宋体" w:hAnsi="宋体" w:cs="宋体"/>
                <w:kern w:val="0"/>
                <w:sz w:val="20"/>
                <w:szCs w:val="20"/>
              </w:rPr>
              <w:t xml:space="preserve">                                     </w:t>
            </w:r>
            <w:r>
              <w:rPr>
                <w:rFonts w:hint="eastAsia" w:ascii="宋体" w:hAnsi="宋体" w:cs="宋体"/>
                <w:kern w:val="0"/>
                <w:sz w:val="20"/>
                <w:szCs w:val="20"/>
              </w:rPr>
              <w:t>预算调整数：部门在本年度涉及预算的追加、追减或结构调整的资金总和（因落实国家政策、发生不可抗力、上级部门或本级党委政府临时交办而产生的调整除外）。</w:t>
            </w:r>
          </w:p>
        </w:tc>
        <w:tc>
          <w:tcPr>
            <w:tcW w:w="2500" w:type="dxa"/>
            <w:tcBorders>
              <w:top w:val="nil"/>
              <w:left w:val="nil"/>
              <w:bottom w:val="nil"/>
              <w:right w:val="nil"/>
            </w:tcBorders>
            <w:noWrap w:val="0"/>
            <w:vAlign w:val="center"/>
          </w:tcPr>
          <w:p>
            <w:pPr>
              <w:widowControl/>
              <w:jc w:val="left"/>
              <w:rPr>
                <w:rFonts w:ascii="宋体" w:cs="宋体"/>
                <w:kern w:val="0"/>
                <w:sz w:val="20"/>
                <w:szCs w:val="20"/>
              </w:rPr>
            </w:pPr>
            <w:r>
              <w:rPr>
                <w:rFonts w:hint="eastAsia" w:ascii="宋体" w:hAnsi="宋体" w:cs="宋体"/>
                <w:kern w:val="0"/>
                <w:sz w:val="20"/>
                <w:szCs w:val="20"/>
              </w:rPr>
              <w:t>预算调整率≤</w:t>
            </w:r>
            <w:r>
              <w:rPr>
                <w:rFonts w:ascii="宋体" w:hAnsi="宋体" w:cs="宋体"/>
                <w:kern w:val="0"/>
                <w:sz w:val="20"/>
                <w:szCs w:val="20"/>
              </w:rPr>
              <w:t>5%</w:t>
            </w:r>
            <w:r>
              <w:rPr>
                <w:rFonts w:hint="eastAsia" w:ascii="宋体" w:hAnsi="宋体" w:cs="宋体"/>
                <w:kern w:val="0"/>
                <w:sz w:val="20"/>
                <w:szCs w:val="20"/>
              </w:rPr>
              <w:t>，得</w:t>
            </w:r>
            <w:r>
              <w:rPr>
                <w:rFonts w:ascii="宋体" w:hAnsi="宋体" w:cs="宋体"/>
                <w:kern w:val="0"/>
                <w:sz w:val="20"/>
                <w:szCs w:val="20"/>
              </w:rPr>
              <w:t>2</w:t>
            </w:r>
            <w:r>
              <w:rPr>
                <w:rFonts w:hint="eastAsia" w:ascii="宋体" w:hAnsi="宋体" w:cs="宋体"/>
                <w:kern w:val="0"/>
                <w:sz w:val="20"/>
                <w:szCs w:val="20"/>
              </w:rPr>
              <w:t>分；</w:t>
            </w:r>
            <w:r>
              <w:rPr>
                <w:rFonts w:ascii="宋体" w:hAnsi="宋体" w:cs="宋体"/>
                <w:kern w:val="0"/>
                <w:sz w:val="20"/>
                <w:szCs w:val="20"/>
              </w:rPr>
              <w:t>5%-10%</w:t>
            </w:r>
            <w:r>
              <w:rPr>
                <w:rFonts w:hint="eastAsia" w:ascii="宋体" w:hAnsi="宋体" w:cs="宋体"/>
                <w:kern w:val="0"/>
                <w:sz w:val="20"/>
                <w:szCs w:val="20"/>
              </w:rPr>
              <w:t>（含），得</w:t>
            </w:r>
            <w:r>
              <w:rPr>
                <w:rFonts w:ascii="宋体" w:hAnsi="宋体" w:cs="宋体"/>
                <w:kern w:val="0"/>
                <w:sz w:val="20"/>
                <w:szCs w:val="20"/>
              </w:rPr>
              <w:t>1.5</w:t>
            </w:r>
            <w:r>
              <w:rPr>
                <w:rFonts w:hint="eastAsia" w:ascii="宋体" w:hAnsi="宋体" w:cs="宋体"/>
                <w:kern w:val="0"/>
                <w:sz w:val="20"/>
                <w:szCs w:val="20"/>
              </w:rPr>
              <w:t>分；</w:t>
            </w:r>
            <w:r>
              <w:rPr>
                <w:rFonts w:ascii="宋体" w:hAnsi="宋体" w:cs="宋体"/>
                <w:kern w:val="0"/>
                <w:sz w:val="20"/>
                <w:szCs w:val="20"/>
              </w:rPr>
              <w:t>10%-15%</w:t>
            </w:r>
            <w:r>
              <w:rPr>
                <w:rFonts w:hint="eastAsia" w:ascii="宋体" w:hAnsi="宋体" w:cs="宋体"/>
                <w:kern w:val="0"/>
                <w:sz w:val="20"/>
                <w:szCs w:val="20"/>
              </w:rPr>
              <w:t>（含），得</w:t>
            </w:r>
            <w:r>
              <w:rPr>
                <w:rFonts w:ascii="宋体" w:hAnsi="宋体" w:cs="宋体"/>
                <w:kern w:val="0"/>
                <w:sz w:val="20"/>
                <w:szCs w:val="20"/>
              </w:rPr>
              <w:t>1</w:t>
            </w:r>
            <w:r>
              <w:rPr>
                <w:rFonts w:hint="eastAsia" w:ascii="宋体" w:hAnsi="宋体" w:cs="宋体"/>
                <w:kern w:val="0"/>
                <w:sz w:val="20"/>
                <w:szCs w:val="20"/>
              </w:rPr>
              <w:t>分；</w:t>
            </w:r>
            <w:r>
              <w:rPr>
                <w:rFonts w:ascii="宋体" w:hAnsi="宋体" w:cs="宋体"/>
                <w:kern w:val="0"/>
                <w:sz w:val="20"/>
                <w:szCs w:val="20"/>
              </w:rPr>
              <w:t>15%-20%</w:t>
            </w:r>
            <w:r>
              <w:rPr>
                <w:rFonts w:hint="eastAsia" w:ascii="宋体" w:hAnsi="宋体" w:cs="宋体"/>
                <w:kern w:val="0"/>
                <w:sz w:val="20"/>
                <w:szCs w:val="20"/>
              </w:rPr>
              <w:t>（含），得</w:t>
            </w:r>
            <w:r>
              <w:rPr>
                <w:rFonts w:ascii="宋体" w:hAnsi="宋体" w:cs="宋体"/>
                <w:kern w:val="0"/>
                <w:sz w:val="20"/>
                <w:szCs w:val="20"/>
              </w:rPr>
              <w:t>0.5</w:t>
            </w:r>
            <w:r>
              <w:rPr>
                <w:rFonts w:hint="eastAsia" w:ascii="宋体" w:hAnsi="宋体" w:cs="宋体"/>
                <w:kern w:val="0"/>
                <w:sz w:val="20"/>
                <w:szCs w:val="20"/>
              </w:rPr>
              <w:t>分；＞</w:t>
            </w:r>
            <w:r>
              <w:rPr>
                <w:rFonts w:ascii="宋体" w:hAnsi="宋体" w:cs="宋体"/>
                <w:kern w:val="0"/>
                <w:sz w:val="20"/>
                <w:szCs w:val="20"/>
              </w:rPr>
              <w:t>20%</w:t>
            </w:r>
            <w:r>
              <w:rPr>
                <w:rFonts w:hint="eastAsia" w:ascii="宋体" w:hAnsi="宋体" w:cs="宋体"/>
                <w:kern w:val="0"/>
                <w:sz w:val="20"/>
                <w:szCs w:val="20"/>
              </w:rPr>
              <w:t>，得</w:t>
            </w:r>
            <w:r>
              <w:rPr>
                <w:rFonts w:ascii="宋体" w:hAnsi="宋体" w:cs="宋体"/>
                <w:kern w:val="0"/>
                <w:sz w:val="20"/>
                <w:szCs w:val="20"/>
              </w:rPr>
              <w:t>0</w:t>
            </w:r>
            <w:r>
              <w:rPr>
                <w:rFonts w:hint="eastAsia" w:ascii="宋体" w:hAnsi="宋体" w:cs="宋体"/>
                <w:kern w:val="0"/>
                <w:sz w:val="20"/>
                <w:szCs w:val="20"/>
              </w:rPr>
              <w:t>分。</w:t>
            </w:r>
          </w:p>
        </w:tc>
        <w:tc>
          <w:tcPr>
            <w:tcW w:w="860"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cs="宋体"/>
                <w:kern w:val="0"/>
                <w:sz w:val="24"/>
                <w:szCs w:val="24"/>
              </w:rPr>
            </w:pPr>
            <w:r>
              <w:rPr>
                <w:rFonts w:hint="eastAsia" w:ascii="宋体" w:hAnsi="宋体" w:cs="宋体"/>
                <w:kern w:val="0"/>
                <w:sz w:val="24"/>
                <w:szCs w:val="24"/>
              </w:rPr>
              <w:t>1</w:t>
            </w:r>
          </w:p>
        </w:tc>
      </w:tr>
      <w:tr>
        <w:tblPrEx>
          <w:tblCellMar>
            <w:top w:w="0" w:type="dxa"/>
            <w:left w:w="108" w:type="dxa"/>
            <w:bottom w:w="0" w:type="dxa"/>
            <w:right w:w="108" w:type="dxa"/>
          </w:tblCellMar>
        </w:tblPrEx>
        <w:trPr>
          <w:trHeight w:val="1902" w:hRule="atLeast"/>
        </w:trPr>
        <w:tc>
          <w:tcPr>
            <w:tcW w:w="62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cs="宋体"/>
                <w:kern w:val="0"/>
                <w:sz w:val="20"/>
                <w:szCs w:val="20"/>
              </w:rPr>
            </w:pPr>
          </w:p>
        </w:tc>
        <w:tc>
          <w:tcPr>
            <w:tcW w:w="62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cs="宋体"/>
                <w:kern w:val="0"/>
                <w:sz w:val="20"/>
                <w:szCs w:val="20"/>
              </w:rPr>
            </w:pPr>
          </w:p>
        </w:tc>
        <w:tc>
          <w:tcPr>
            <w:tcW w:w="880" w:type="dxa"/>
            <w:tcBorders>
              <w:top w:val="nil"/>
              <w:left w:val="nil"/>
              <w:bottom w:val="single" w:color="auto" w:sz="4" w:space="0"/>
              <w:right w:val="single" w:color="auto" w:sz="4" w:space="0"/>
            </w:tcBorders>
            <w:noWrap w:val="0"/>
            <w:vAlign w:val="center"/>
          </w:tcPr>
          <w:p>
            <w:pPr>
              <w:widowControl/>
              <w:jc w:val="left"/>
              <w:rPr>
                <w:rFonts w:ascii="宋体" w:cs="宋体"/>
                <w:kern w:val="0"/>
                <w:sz w:val="20"/>
                <w:szCs w:val="20"/>
              </w:rPr>
            </w:pPr>
            <w:r>
              <w:rPr>
                <w:rFonts w:hint="eastAsia" w:ascii="宋体" w:hAnsi="宋体" w:cs="宋体"/>
                <w:kern w:val="0"/>
                <w:sz w:val="20"/>
                <w:szCs w:val="20"/>
              </w:rPr>
              <w:t>支付进度率</w:t>
            </w:r>
          </w:p>
        </w:tc>
        <w:tc>
          <w:tcPr>
            <w:tcW w:w="420" w:type="dxa"/>
            <w:tcBorders>
              <w:top w:val="nil"/>
              <w:left w:val="nil"/>
              <w:bottom w:val="single" w:color="auto" w:sz="4" w:space="0"/>
              <w:right w:val="single" w:color="auto" w:sz="4" w:space="0"/>
            </w:tcBorders>
            <w:noWrap w:val="0"/>
            <w:vAlign w:val="center"/>
          </w:tcPr>
          <w:p>
            <w:pPr>
              <w:widowControl/>
              <w:jc w:val="center"/>
              <w:rPr>
                <w:rFonts w:ascii="宋体" w:cs="宋体"/>
                <w:kern w:val="0"/>
                <w:sz w:val="20"/>
                <w:szCs w:val="20"/>
              </w:rPr>
            </w:pPr>
            <w:r>
              <w:rPr>
                <w:rFonts w:ascii="宋体" w:hAnsi="宋体" w:cs="宋体"/>
                <w:kern w:val="0"/>
                <w:sz w:val="20"/>
                <w:szCs w:val="20"/>
              </w:rPr>
              <w:t>1</w:t>
            </w:r>
          </w:p>
        </w:tc>
        <w:tc>
          <w:tcPr>
            <w:tcW w:w="3820" w:type="dxa"/>
            <w:tcBorders>
              <w:top w:val="nil"/>
              <w:left w:val="nil"/>
              <w:bottom w:val="nil"/>
              <w:right w:val="single" w:color="auto" w:sz="4" w:space="0"/>
            </w:tcBorders>
            <w:noWrap w:val="0"/>
            <w:vAlign w:val="center"/>
          </w:tcPr>
          <w:p>
            <w:pPr>
              <w:widowControl/>
              <w:jc w:val="left"/>
              <w:rPr>
                <w:rFonts w:ascii="宋体" w:cs="宋体"/>
                <w:kern w:val="0"/>
                <w:sz w:val="20"/>
                <w:szCs w:val="20"/>
              </w:rPr>
            </w:pPr>
            <w:r>
              <w:rPr>
                <w:rFonts w:ascii="宋体" w:hAnsi="宋体" w:cs="宋体"/>
                <w:kern w:val="0"/>
                <w:sz w:val="20"/>
                <w:szCs w:val="20"/>
              </w:rPr>
              <w:t xml:space="preserve">  </w:t>
            </w:r>
            <w:r>
              <w:rPr>
                <w:rFonts w:hint="eastAsia" w:ascii="宋体" w:hAnsi="宋体" w:cs="宋体"/>
                <w:kern w:val="0"/>
                <w:sz w:val="20"/>
                <w:szCs w:val="20"/>
              </w:rPr>
              <w:t>部门实际支付进度与既定支付进度的比率，用以反映和考核部门预算执行的及时性和均衡性程度。</w:t>
            </w:r>
            <w:r>
              <w:rPr>
                <w:rFonts w:ascii="宋体" w:cs="宋体"/>
                <w:kern w:val="0"/>
                <w:sz w:val="20"/>
                <w:szCs w:val="20"/>
              </w:rPr>
              <w:br w:type="textWrapping"/>
            </w:r>
            <w:r>
              <w:rPr>
                <w:rFonts w:ascii="宋体" w:hAnsi="宋体" w:cs="宋体"/>
                <w:kern w:val="0"/>
                <w:sz w:val="20"/>
                <w:szCs w:val="20"/>
              </w:rPr>
              <w:t xml:space="preserve">  </w:t>
            </w:r>
            <w:r>
              <w:rPr>
                <w:rFonts w:hint="eastAsia" w:ascii="宋体" w:hAnsi="宋体" w:cs="宋体"/>
                <w:kern w:val="0"/>
                <w:sz w:val="20"/>
                <w:szCs w:val="20"/>
              </w:rPr>
              <w:t>支付进度率</w:t>
            </w:r>
            <w:r>
              <w:rPr>
                <w:rFonts w:ascii="宋体" w:hAnsi="宋体" w:cs="宋体"/>
                <w:kern w:val="0"/>
                <w:sz w:val="20"/>
                <w:szCs w:val="20"/>
              </w:rPr>
              <w:t>=</w:t>
            </w:r>
            <w:r>
              <w:rPr>
                <w:rFonts w:hint="eastAsia" w:ascii="宋体" w:hAnsi="宋体" w:cs="宋体"/>
                <w:kern w:val="0"/>
                <w:sz w:val="20"/>
                <w:szCs w:val="20"/>
              </w:rPr>
              <w:t>（实际支付进度</w:t>
            </w:r>
            <w:r>
              <w:rPr>
                <w:rFonts w:ascii="宋体" w:hAnsi="宋体" w:cs="宋体"/>
                <w:kern w:val="0"/>
                <w:sz w:val="20"/>
                <w:szCs w:val="20"/>
              </w:rPr>
              <w:t>/</w:t>
            </w:r>
            <w:r>
              <w:rPr>
                <w:rFonts w:hint="eastAsia" w:ascii="宋体" w:hAnsi="宋体" w:cs="宋体"/>
                <w:kern w:val="0"/>
                <w:sz w:val="20"/>
                <w:szCs w:val="20"/>
              </w:rPr>
              <w:t>既定支付进度）×</w:t>
            </w:r>
            <w:r>
              <w:rPr>
                <w:rFonts w:ascii="宋体" w:hAnsi="宋体" w:cs="宋体"/>
                <w:kern w:val="0"/>
                <w:sz w:val="20"/>
                <w:szCs w:val="20"/>
              </w:rPr>
              <w:t>100%</w:t>
            </w:r>
            <w:r>
              <w:rPr>
                <w:rFonts w:hint="eastAsia" w:ascii="宋体" w:hAnsi="宋体" w:cs="宋体"/>
                <w:kern w:val="0"/>
                <w:sz w:val="20"/>
                <w:szCs w:val="20"/>
              </w:rPr>
              <w:t>。</w:t>
            </w:r>
            <w:r>
              <w:rPr>
                <w:rFonts w:ascii="宋体" w:cs="宋体"/>
                <w:kern w:val="0"/>
                <w:sz w:val="20"/>
                <w:szCs w:val="20"/>
              </w:rPr>
              <w:br w:type="textWrapping"/>
            </w:r>
            <w:r>
              <w:rPr>
                <w:rFonts w:ascii="宋体" w:hAnsi="宋体" w:cs="宋体"/>
                <w:kern w:val="0"/>
                <w:sz w:val="20"/>
                <w:szCs w:val="20"/>
              </w:rPr>
              <w:t xml:space="preserve">  </w:t>
            </w:r>
            <w:r>
              <w:rPr>
                <w:rFonts w:hint="eastAsia" w:ascii="宋体" w:hAnsi="宋体" w:cs="宋体"/>
                <w:kern w:val="0"/>
                <w:sz w:val="20"/>
                <w:szCs w:val="20"/>
              </w:rPr>
              <w:t>实际支付进度：部门在某一时点的支出预算执行总数与年度支出预算数的比率。</w:t>
            </w:r>
            <w:r>
              <w:rPr>
                <w:rFonts w:ascii="宋体" w:cs="宋体"/>
                <w:kern w:val="0"/>
                <w:sz w:val="20"/>
                <w:szCs w:val="20"/>
              </w:rPr>
              <w:br w:type="textWrapping"/>
            </w:r>
            <w:r>
              <w:rPr>
                <w:rFonts w:ascii="宋体" w:hAnsi="宋体" w:cs="宋体"/>
                <w:kern w:val="0"/>
                <w:sz w:val="20"/>
                <w:szCs w:val="20"/>
              </w:rPr>
              <w:t xml:space="preserve">  </w:t>
            </w:r>
            <w:r>
              <w:rPr>
                <w:rFonts w:hint="eastAsia" w:ascii="宋体" w:hAnsi="宋体" w:cs="宋体"/>
                <w:kern w:val="0"/>
                <w:sz w:val="20"/>
                <w:szCs w:val="20"/>
              </w:rPr>
              <w:t>既定支付进度：由部门在申报部门整体绩效目标时，参照序时支付进度、前三年支付进度、本级部门平均支付进度水平等确定的，在某一时点应达到的支付进度（比率）。</w:t>
            </w:r>
          </w:p>
        </w:tc>
        <w:tc>
          <w:tcPr>
            <w:tcW w:w="2500" w:type="dxa"/>
            <w:tcBorders>
              <w:top w:val="single" w:color="auto" w:sz="4" w:space="0"/>
              <w:left w:val="nil"/>
              <w:bottom w:val="nil"/>
              <w:right w:val="nil"/>
            </w:tcBorders>
            <w:noWrap w:val="0"/>
            <w:vAlign w:val="center"/>
          </w:tcPr>
          <w:p>
            <w:pPr>
              <w:widowControl/>
              <w:jc w:val="left"/>
              <w:rPr>
                <w:rFonts w:ascii="宋体" w:cs="宋体"/>
                <w:kern w:val="0"/>
                <w:sz w:val="20"/>
                <w:szCs w:val="20"/>
              </w:rPr>
            </w:pPr>
            <w:r>
              <w:rPr>
                <w:rFonts w:hint="eastAsia" w:ascii="宋体" w:hAnsi="宋体" w:cs="宋体"/>
                <w:kern w:val="0"/>
                <w:sz w:val="20"/>
                <w:szCs w:val="20"/>
              </w:rPr>
              <w:t>支付进度率</w:t>
            </w:r>
            <w:r>
              <w:rPr>
                <w:rFonts w:ascii="宋体" w:hAnsi="宋体" w:cs="宋体"/>
                <w:kern w:val="0"/>
                <w:sz w:val="20"/>
                <w:szCs w:val="20"/>
              </w:rPr>
              <w:t>=100%,</w:t>
            </w:r>
            <w:r>
              <w:rPr>
                <w:rFonts w:hint="eastAsia" w:ascii="宋体" w:hAnsi="宋体" w:cs="宋体"/>
                <w:kern w:val="0"/>
                <w:sz w:val="20"/>
                <w:szCs w:val="20"/>
              </w:rPr>
              <w:t>得</w:t>
            </w:r>
            <w:r>
              <w:rPr>
                <w:rFonts w:ascii="宋体" w:hAnsi="宋体" w:cs="宋体"/>
                <w:kern w:val="0"/>
                <w:sz w:val="20"/>
                <w:szCs w:val="20"/>
              </w:rPr>
              <w:t>1</w:t>
            </w:r>
            <w:r>
              <w:rPr>
                <w:rFonts w:hint="eastAsia" w:ascii="宋体" w:hAnsi="宋体" w:cs="宋体"/>
                <w:kern w:val="0"/>
                <w:sz w:val="20"/>
                <w:szCs w:val="20"/>
              </w:rPr>
              <w:t>分；</w:t>
            </w:r>
            <w:r>
              <w:rPr>
                <w:rFonts w:ascii="宋体" w:cs="宋体"/>
                <w:kern w:val="0"/>
                <w:sz w:val="20"/>
                <w:szCs w:val="20"/>
              </w:rPr>
              <w:br w:type="textWrapping"/>
            </w:r>
            <w:r>
              <w:rPr>
                <w:rFonts w:hint="eastAsia" w:ascii="宋体" w:hAnsi="宋体" w:cs="宋体"/>
                <w:kern w:val="0"/>
                <w:sz w:val="20"/>
                <w:szCs w:val="20"/>
              </w:rPr>
              <w:t>每超过（降低）</w:t>
            </w:r>
            <w:r>
              <w:rPr>
                <w:rFonts w:ascii="宋体" w:hAnsi="宋体" w:cs="宋体"/>
                <w:kern w:val="0"/>
                <w:sz w:val="20"/>
                <w:szCs w:val="20"/>
              </w:rPr>
              <w:t>5%</w:t>
            </w:r>
            <w:r>
              <w:rPr>
                <w:rFonts w:hint="eastAsia" w:ascii="宋体" w:hAnsi="宋体" w:cs="宋体"/>
                <w:kern w:val="0"/>
                <w:sz w:val="20"/>
                <w:szCs w:val="20"/>
              </w:rPr>
              <w:t>，扣</w:t>
            </w:r>
            <w:r>
              <w:rPr>
                <w:rFonts w:ascii="宋体" w:hAnsi="宋体" w:cs="宋体"/>
                <w:kern w:val="0"/>
                <w:sz w:val="20"/>
                <w:szCs w:val="20"/>
              </w:rPr>
              <w:t>0.5</w:t>
            </w:r>
            <w:r>
              <w:rPr>
                <w:rFonts w:hint="eastAsia" w:ascii="宋体" w:hAnsi="宋体" w:cs="宋体"/>
                <w:kern w:val="0"/>
                <w:sz w:val="20"/>
                <w:szCs w:val="20"/>
              </w:rPr>
              <w:t>分，扣完为止。</w:t>
            </w:r>
          </w:p>
        </w:tc>
        <w:tc>
          <w:tcPr>
            <w:tcW w:w="860"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cs="宋体"/>
                <w:kern w:val="0"/>
                <w:sz w:val="24"/>
                <w:szCs w:val="24"/>
              </w:rPr>
            </w:pPr>
            <w:r>
              <w:rPr>
                <w:rFonts w:hint="eastAsia" w:ascii="宋体" w:hAnsi="宋体" w:cs="宋体"/>
                <w:kern w:val="0"/>
                <w:sz w:val="24"/>
                <w:szCs w:val="24"/>
              </w:rPr>
              <w:t>1</w:t>
            </w:r>
          </w:p>
        </w:tc>
      </w:tr>
      <w:tr>
        <w:tblPrEx>
          <w:tblCellMar>
            <w:top w:w="0" w:type="dxa"/>
            <w:left w:w="108" w:type="dxa"/>
            <w:bottom w:w="0" w:type="dxa"/>
            <w:right w:w="108" w:type="dxa"/>
          </w:tblCellMar>
        </w:tblPrEx>
        <w:trPr>
          <w:trHeight w:val="1680" w:hRule="atLeast"/>
        </w:trPr>
        <w:tc>
          <w:tcPr>
            <w:tcW w:w="62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cs="宋体"/>
                <w:kern w:val="0"/>
                <w:sz w:val="20"/>
                <w:szCs w:val="20"/>
              </w:rPr>
            </w:pPr>
          </w:p>
        </w:tc>
        <w:tc>
          <w:tcPr>
            <w:tcW w:w="62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cs="宋体"/>
                <w:kern w:val="0"/>
                <w:sz w:val="20"/>
                <w:szCs w:val="20"/>
              </w:rPr>
            </w:pPr>
          </w:p>
        </w:tc>
        <w:tc>
          <w:tcPr>
            <w:tcW w:w="880" w:type="dxa"/>
            <w:tcBorders>
              <w:top w:val="nil"/>
              <w:left w:val="nil"/>
              <w:bottom w:val="single" w:color="auto" w:sz="4" w:space="0"/>
              <w:right w:val="single" w:color="auto" w:sz="4" w:space="0"/>
            </w:tcBorders>
            <w:noWrap w:val="0"/>
            <w:vAlign w:val="center"/>
          </w:tcPr>
          <w:p>
            <w:pPr>
              <w:widowControl/>
              <w:jc w:val="left"/>
              <w:rPr>
                <w:rFonts w:ascii="宋体" w:cs="宋体"/>
                <w:kern w:val="0"/>
                <w:sz w:val="20"/>
                <w:szCs w:val="20"/>
              </w:rPr>
            </w:pPr>
            <w:r>
              <w:rPr>
                <w:rFonts w:hint="eastAsia" w:ascii="宋体" w:hAnsi="宋体" w:cs="宋体"/>
                <w:kern w:val="0"/>
                <w:sz w:val="20"/>
                <w:szCs w:val="20"/>
              </w:rPr>
              <w:t>结转结余率</w:t>
            </w:r>
          </w:p>
        </w:tc>
        <w:tc>
          <w:tcPr>
            <w:tcW w:w="420" w:type="dxa"/>
            <w:tcBorders>
              <w:top w:val="nil"/>
              <w:left w:val="nil"/>
              <w:bottom w:val="single" w:color="auto" w:sz="4" w:space="0"/>
              <w:right w:val="single" w:color="auto" w:sz="4" w:space="0"/>
            </w:tcBorders>
            <w:noWrap w:val="0"/>
            <w:vAlign w:val="center"/>
          </w:tcPr>
          <w:p>
            <w:pPr>
              <w:widowControl/>
              <w:jc w:val="center"/>
              <w:rPr>
                <w:rFonts w:ascii="宋体" w:cs="宋体"/>
                <w:kern w:val="0"/>
                <w:sz w:val="20"/>
                <w:szCs w:val="20"/>
              </w:rPr>
            </w:pPr>
            <w:r>
              <w:rPr>
                <w:rFonts w:ascii="宋体" w:hAnsi="宋体" w:cs="宋体"/>
                <w:kern w:val="0"/>
                <w:sz w:val="20"/>
                <w:szCs w:val="20"/>
              </w:rPr>
              <w:t>1</w:t>
            </w:r>
          </w:p>
        </w:tc>
        <w:tc>
          <w:tcPr>
            <w:tcW w:w="3820" w:type="dxa"/>
            <w:tcBorders>
              <w:top w:val="single" w:color="auto" w:sz="4" w:space="0"/>
              <w:left w:val="nil"/>
              <w:bottom w:val="nil"/>
              <w:right w:val="single" w:color="auto" w:sz="4" w:space="0"/>
            </w:tcBorders>
            <w:noWrap w:val="0"/>
            <w:vAlign w:val="center"/>
          </w:tcPr>
          <w:p>
            <w:pPr>
              <w:widowControl/>
              <w:jc w:val="left"/>
              <w:rPr>
                <w:rFonts w:ascii="宋体" w:cs="宋体"/>
                <w:kern w:val="0"/>
                <w:sz w:val="20"/>
                <w:szCs w:val="20"/>
              </w:rPr>
            </w:pPr>
            <w:r>
              <w:rPr>
                <w:rFonts w:ascii="宋体" w:hAnsi="宋体" w:cs="宋体"/>
                <w:kern w:val="0"/>
                <w:sz w:val="20"/>
                <w:szCs w:val="20"/>
              </w:rPr>
              <w:t xml:space="preserve">  </w:t>
            </w:r>
            <w:r>
              <w:rPr>
                <w:rFonts w:hint="eastAsia" w:ascii="宋体" w:hAnsi="宋体" w:cs="宋体"/>
                <w:kern w:val="0"/>
                <w:sz w:val="20"/>
                <w:szCs w:val="20"/>
              </w:rPr>
              <w:t>部门本年度结转结余总额与支出预算数的比率，用以反映和考核部门对本年度结转结余资金的实际控制程度。</w:t>
            </w:r>
            <w:r>
              <w:rPr>
                <w:rFonts w:ascii="宋体" w:cs="宋体"/>
                <w:kern w:val="0"/>
                <w:sz w:val="20"/>
                <w:szCs w:val="20"/>
              </w:rPr>
              <w:br w:type="textWrapping"/>
            </w:r>
            <w:r>
              <w:rPr>
                <w:rFonts w:ascii="宋体" w:hAnsi="宋体" w:cs="宋体"/>
                <w:kern w:val="0"/>
                <w:sz w:val="20"/>
                <w:szCs w:val="20"/>
              </w:rPr>
              <w:t xml:space="preserve">  </w:t>
            </w:r>
            <w:r>
              <w:rPr>
                <w:rFonts w:hint="eastAsia" w:ascii="宋体" w:hAnsi="宋体" w:cs="宋体"/>
                <w:kern w:val="0"/>
                <w:sz w:val="20"/>
                <w:szCs w:val="20"/>
              </w:rPr>
              <w:t>结转结余率＝结转结余总额／支出预算数×</w:t>
            </w:r>
            <w:r>
              <w:rPr>
                <w:rFonts w:ascii="宋体" w:hAnsi="宋体" w:cs="宋体"/>
                <w:kern w:val="0"/>
                <w:sz w:val="20"/>
                <w:szCs w:val="20"/>
              </w:rPr>
              <w:t>100%</w:t>
            </w:r>
            <w:r>
              <w:rPr>
                <w:rFonts w:hint="eastAsia" w:ascii="宋体" w:hAnsi="宋体" w:cs="宋体"/>
                <w:kern w:val="0"/>
                <w:sz w:val="20"/>
                <w:szCs w:val="20"/>
              </w:rPr>
              <w:t>。</w:t>
            </w:r>
            <w:r>
              <w:rPr>
                <w:rFonts w:ascii="宋体" w:cs="宋体"/>
                <w:kern w:val="0"/>
                <w:sz w:val="20"/>
                <w:szCs w:val="20"/>
              </w:rPr>
              <w:br w:type="textWrapping"/>
            </w:r>
            <w:r>
              <w:rPr>
                <w:rFonts w:ascii="宋体" w:hAnsi="宋体" w:cs="宋体"/>
                <w:kern w:val="0"/>
                <w:sz w:val="20"/>
                <w:szCs w:val="20"/>
              </w:rPr>
              <w:t xml:space="preserve">  </w:t>
            </w:r>
            <w:r>
              <w:rPr>
                <w:rFonts w:hint="eastAsia" w:ascii="宋体" w:hAnsi="宋体" w:cs="宋体"/>
                <w:kern w:val="0"/>
                <w:sz w:val="20"/>
                <w:szCs w:val="20"/>
              </w:rPr>
              <w:t>结转结余总额：部门本年度的结转资金与结余资金之和（以决算数为准）。</w:t>
            </w:r>
          </w:p>
        </w:tc>
        <w:tc>
          <w:tcPr>
            <w:tcW w:w="2500" w:type="dxa"/>
            <w:tcBorders>
              <w:top w:val="single" w:color="auto" w:sz="4" w:space="0"/>
              <w:left w:val="nil"/>
              <w:bottom w:val="nil"/>
              <w:right w:val="nil"/>
            </w:tcBorders>
            <w:noWrap w:val="0"/>
            <w:vAlign w:val="center"/>
          </w:tcPr>
          <w:p>
            <w:pPr>
              <w:widowControl/>
              <w:jc w:val="left"/>
              <w:rPr>
                <w:rFonts w:ascii="宋体" w:cs="宋体"/>
                <w:kern w:val="0"/>
                <w:sz w:val="20"/>
                <w:szCs w:val="20"/>
              </w:rPr>
            </w:pPr>
            <w:r>
              <w:rPr>
                <w:rFonts w:hint="eastAsia" w:ascii="宋体" w:hAnsi="宋体" w:cs="宋体"/>
                <w:kern w:val="0"/>
                <w:sz w:val="20"/>
                <w:szCs w:val="20"/>
              </w:rPr>
              <w:t>结转结余率≤</w:t>
            </w:r>
            <w:r>
              <w:rPr>
                <w:rFonts w:ascii="宋体" w:hAnsi="宋体" w:cs="宋体"/>
                <w:kern w:val="0"/>
                <w:sz w:val="20"/>
                <w:szCs w:val="20"/>
              </w:rPr>
              <w:t>5%,</w:t>
            </w:r>
            <w:r>
              <w:rPr>
                <w:rFonts w:hint="eastAsia" w:ascii="宋体" w:hAnsi="宋体" w:cs="宋体"/>
                <w:kern w:val="0"/>
                <w:sz w:val="20"/>
                <w:szCs w:val="20"/>
              </w:rPr>
              <w:t>得</w:t>
            </w:r>
            <w:r>
              <w:rPr>
                <w:rFonts w:ascii="宋体" w:hAnsi="宋体" w:cs="宋体"/>
                <w:kern w:val="0"/>
                <w:sz w:val="20"/>
                <w:szCs w:val="20"/>
              </w:rPr>
              <w:t>1</w:t>
            </w:r>
            <w:r>
              <w:rPr>
                <w:rFonts w:hint="eastAsia" w:ascii="宋体" w:hAnsi="宋体" w:cs="宋体"/>
                <w:kern w:val="0"/>
                <w:sz w:val="20"/>
                <w:szCs w:val="20"/>
              </w:rPr>
              <w:t>分；</w:t>
            </w:r>
            <w:r>
              <w:rPr>
                <w:rFonts w:ascii="宋体" w:cs="宋体"/>
                <w:kern w:val="0"/>
                <w:sz w:val="20"/>
                <w:szCs w:val="20"/>
              </w:rPr>
              <w:br w:type="textWrapping"/>
            </w:r>
            <w:r>
              <w:rPr>
                <w:rFonts w:ascii="宋体" w:hAnsi="宋体" w:cs="宋体"/>
                <w:kern w:val="0"/>
                <w:sz w:val="20"/>
                <w:szCs w:val="20"/>
              </w:rPr>
              <w:t>5%-10%(</w:t>
            </w:r>
            <w:r>
              <w:rPr>
                <w:rFonts w:hint="eastAsia" w:ascii="宋体" w:hAnsi="宋体" w:cs="宋体"/>
                <w:kern w:val="0"/>
                <w:sz w:val="20"/>
                <w:szCs w:val="20"/>
              </w:rPr>
              <w:t>含），得</w:t>
            </w:r>
            <w:r>
              <w:rPr>
                <w:rFonts w:ascii="宋体" w:hAnsi="宋体" w:cs="宋体"/>
                <w:kern w:val="0"/>
                <w:sz w:val="20"/>
                <w:szCs w:val="20"/>
              </w:rPr>
              <w:t>0. 5</w:t>
            </w:r>
            <w:r>
              <w:rPr>
                <w:rFonts w:hint="eastAsia" w:ascii="宋体" w:hAnsi="宋体" w:cs="宋体"/>
                <w:kern w:val="0"/>
                <w:sz w:val="20"/>
                <w:szCs w:val="20"/>
              </w:rPr>
              <w:t>分；</w:t>
            </w:r>
            <w:r>
              <w:rPr>
                <w:rFonts w:ascii="宋体" w:cs="宋体"/>
                <w:kern w:val="0"/>
                <w:sz w:val="20"/>
                <w:szCs w:val="20"/>
              </w:rPr>
              <w:br w:type="textWrapping"/>
            </w:r>
            <w:r>
              <w:rPr>
                <w:rFonts w:hint="eastAsia" w:ascii="宋体" w:hAnsi="宋体" w:cs="宋体"/>
                <w:kern w:val="0"/>
                <w:sz w:val="20"/>
                <w:szCs w:val="20"/>
              </w:rPr>
              <w:t>＞</w:t>
            </w:r>
            <w:r>
              <w:rPr>
                <w:rFonts w:ascii="宋体" w:hAnsi="宋体" w:cs="宋体"/>
                <w:kern w:val="0"/>
                <w:sz w:val="20"/>
                <w:szCs w:val="20"/>
              </w:rPr>
              <w:t>10%,</w:t>
            </w:r>
            <w:r>
              <w:rPr>
                <w:rFonts w:hint="eastAsia" w:ascii="宋体" w:hAnsi="宋体" w:cs="宋体"/>
                <w:kern w:val="0"/>
                <w:sz w:val="20"/>
                <w:szCs w:val="20"/>
              </w:rPr>
              <w:t>得</w:t>
            </w:r>
            <w:r>
              <w:rPr>
                <w:rFonts w:ascii="宋体" w:hAnsi="宋体" w:cs="宋体"/>
                <w:kern w:val="0"/>
                <w:sz w:val="20"/>
                <w:szCs w:val="20"/>
              </w:rPr>
              <w:t>0</w:t>
            </w:r>
            <w:r>
              <w:rPr>
                <w:rFonts w:hint="eastAsia" w:ascii="宋体" w:hAnsi="宋体" w:cs="宋体"/>
                <w:kern w:val="0"/>
                <w:sz w:val="20"/>
                <w:szCs w:val="20"/>
              </w:rPr>
              <w:t>分。</w:t>
            </w:r>
          </w:p>
        </w:tc>
        <w:tc>
          <w:tcPr>
            <w:tcW w:w="860"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cs="宋体"/>
                <w:kern w:val="0"/>
                <w:sz w:val="24"/>
                <w:szCs w:val="24"/>
              </w:rPr>
            </w:pPr>
            <w:r>
              <w:rPr>
                <w:rFonts w:hint="eastAsia" w:ascii="宋体" w:hAnsi="宋体" w:cs="宋体"/>
                <w:kern w:val="0"/>
                <w:sz w:val="24"/>
                <w:szCs w:val="24"/>
              </w:rPr>
              <w:t>0.5</w:t>
            </w:r>
          </w:p>
        </w:tc>
      </w:tr>
      <w:tr>
        <w:tblPrEx>
          <w:tblCellMar>
            <w:top w:w="0" w:type="dxa"/>
            <w:left w:w="108" w:type="dxa"/>
            <w:bottom w:w="0" w:type="dxa"/>
            <w:right w:w="108" w:type="dxa"/>
          </w:tblCellMar>
        </w:tblPrEx>
        <w:trPr>
          <w:trHeight w:val="1440" w:hRule="atLeast"/>
        </w:trPr>
        <w:tc>
          <w:tcPr>
            <w:tcW w:w="62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cs="宋体"/>
                <w:kern w:val="0"/>
                <w:sz w:val="20"/>
                <w:szCs w:val="20"/>
              </w:rPr>
            </w:pPr>
          </w:p>
        </w:tc>
        <w:tc>
          <w:tcPr>
            <w:tcW w:w="62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cs="宋体"/>
                <w:kern w:val="0"/>
                <w:sz w:val="20"/>
                <w:szCs w:val="20"/>
              </w:rPr>
            </w:pPr>
          </w:p>
        </w:tc>
        <w:tc>
          <w:tcPr>
            <w:tcW w:w="880" w:type="dxa"/>
            <w:tcBorders>
              <w:top w:val="nil"/>
              <w:left w:val="nil"/>
              <w:bottom w:val="single" w:color="auto" w:sz="4" w:space="0"/>
              <w:right w:val="single" w:color="auto" w:sz="4" w:space="0"/>
            </w:tcBorders>
            <w:noWrap w:val="0"/>
            <w:vAlign w:val="center"/>
          </w:tcPr>
          <w:p>
            <w:pPr>
              <w:widowControl/>
              <w:jc w:val="left"/>
              <w:rPr>
                <w:rFonts w:ascii="宋体" w:cs="宋体"/>
                <w:kern w:val="0"/>
                <w:sz w:val="20"/>
                <w:szCs w:val="20"/>
              </w:rPr>
            </w:pPr>
            <w:r>
              <w:rPr>
                <w:rFonts w:hint="eastAsia" w:ascii="宋体" w:hAnsi="宋体" w:cs="宋体"/>
                <w:kern w:val="0"/>
                <w:sz w:val="20"/>
                <w:szCs w:val="20"/>
              </w:rPr>
              <w:t>结转结余变动率</w:t>
            </w:r>
          </w:p>
        </w:tc>
        <w:tc>
          <w:tcPr>
            <w:tcW w:w="420" w:type="dxa"/>
            <w:tcBorders>
              <w:top w:val="nil"/>
              <w:left w:val="nil"/>
              <w:bottom w:val="single" w:color="auto" w:sz="4" w:space="0"/>
              <w:right w:val="single" w:color="auto" w:sz="4" w:space="0"/>
            </w:tcBorders>
            <w:noWrap w:val="0"/>
            <w:vAlign w:val="center"/>
          </w:tcPr>
          <w:p>
            <w:pPr>
              <w:widowControl/>
              <w:jc w:val="center"/>
              <w:rPr>
                <w:rFonts w:ascii="宋体" w:cs="宋体"/>
                <w:kern w:val="0"/>
                <w:sz w:val="20"/>
                <w:szCs w:val="20"/>
              </w:rPr>
            </w:pPr>
            <w:r>
              <w:rPr>
                <w:rFonts w:ascii="宋体" w:hAnsi="宋体" w:cs="宋体"/>
                <w:kern w:val="0"/>
                <w:sz w:val="20"/>
                <w:szCs w:val="20"/>
              </w:rPr>
              <w:t>1</w:t>
            </w:r>
          </w:p>
        </w:tc>
        <w:tc>
          <w:tcPr>
            <w:tcW w:w="3820" w:type="dxa"/>
            <w:tcBorders>
              <w:top w:val="single" w:color="auto" w:sz="4" w:space="0"/>
              <w:left w:val="nil"/>
              <w:bottom w:val="nil"/>
              <w:right w:val="single" w:color="auto" w:sz="4" w:space="0"/>
            </w:tcBorders>
            <w:noWrap w:val="0"/>
            <w:vAlign w:val="center"/>
          </w:tcPr>
          <w:p>
            <w:pPr>
              <w:widowControl/>
              <w:jc w:val="left"/>
              <w:rPr>
                <w:rFonts w:ascii="宋体" w:cs="宋体"/>
                <w:kern w:val="0"/>
                <w:sz w:val="20"/>
                <w:szCs w:val="20"/>
              </w:rPr>
            </w:pPr>
            <w:r>
              <w:rPr>
                <w:rFonts w:ascii="宋体" w:hAnsi="宋体" w:cs="宋体"/>
                <w:kern w:val="0"/>
                <w:sz w:val="20"/>
                <w:szCs w:val="20"/>
              </w:rPr>
              <w:t xml:space="preserve">  </w:t>
            </w:r>
            <w:r>
              <w:rPr>
                <w:rFonts w:hint="eastAsia" w:ascii="宋体" w:hAnsi="宋体" w:cs="宋体"/>
                <w:kern w:val="0"/>
                <w:sz w:val="20"/>
                <w:szCs w:val="20"/>
              </w:rPr>
              <w:t>部门本年度结转结余资金总额与上年度结转结余资金总额的变动比率，用以反映和考核部门对控制结转结余资金的努力程度。</w:t>
            </w:r>
            <w:r>
              <w:rPr>
                <w:rFonts w:ascii="宋体" w:cs="宋体"/>
                <w:kern w:val="0"/>
                <w:sz w:val="20"/>
                <w:szCs w:val="20"/>
              </w:rPr>
              <w:br w:type="textWrapping"/>
            </w:r>
            <w:r>
              <w:rPr>
                <w:rFonts w:ascii="宋体" w:hAnsi="宋体" w:cs="宋体"/>
                <w:kern w:val="0"/>
                <w:sz w:val="20"/>
                <w:szCs w:val="20"/>
              </w:rPr>
              <w:t xml:space="preserve">  </w:t>
            </w:r>
            <w:r>
              <w:rPr>
                <w:rFonts w:hint="eastAsia" w:ascii="宋体" w:hAnsi="宋体" w:cs="宋体"/>
                <w:kern w:val="0"/>
                <w:sz w:val="20"/>
                <w:szCs w:val="20"/>
              </w:rPr>
              <w:t>结转结余变动率</w:t>
            </w:r>
            <w:r>
              <w:rPr>
                <w:rFonts w:ascii="宋体" w:hAnsi="宋体" w:cs="宋体"/>
                <w:kern w:val="0"/>
                <w:sz w:val="20"/>
                <w:szCs w:val="20"/>
              </w:rPr>
              <w:t>=</w:t>
            </w:r>
            <w:r>
              <w:rPr>
                <w:rFonts w:hint="eastAsia" w:ascii="宋体" w:hAnsi="宋体" w:cs="宋体"/>
                <w:kern w:val="0"/>
                <w:sz w:val="20"/>
                <w:szCs w:val="20"/>
              </w:rPr>
              <w:t>［（本年度累计结转结余资金总额</w:t>
            </w:r>
            <w:r>
              <w:rPr>
                <w:rFonts w:ascii="宋体" w:hAnsi="宋体" w:cs="宋体"/>
                <w:kern w:val="0"/>
                <w:sz w:val="20"/>
                <w:szCs w:val="20"/>
              </w:rPr>
              <w:t>-</w:t>
            </w:r>
            <w:r>
              <w:rPr>
                <w:rFonts w:hint="eastAsia" w:ascii="宋体" w:hAnsi="宋体" w:cs="宋体"/>
                <w:kern w:val="0"/>
                <w:sz w:val="20"/>
                <w:szCs w:val="20"/>
              </w:rPr>
              <w:t>上年度累计结转结余资金总额）／上年度累计结转结余资金总额］×</w:t>
            </w:r>
            <w:r>
              <w:rPr>
                <w:rFonts w:ascii="宋体" w:hAnsi="宋体" w:cs="宋体"/>
                <w:kern w:val="0"/>
                <w:sz w:val="20"/>
                <w:szCs w:val="20"/>
              </w:rPr>
              <w:t>100%</w:t>
            </w:r>
            <w:r>
              <w:rPr>
                <w:rFonts w:hint="eastAsia" w:ascii="宋体" w:hAnsi="宋体" w:cs="宋体"/>
                <w:kern w:val="0"/>
                <w:sz w:val="20"/>
                <w:szCs w:val="20"/>
              </w:rPr>
              <w:t>。</w:t>
            </w:r>
          </w:p>
        </w:tc>
        <w:tc>
          <w:tcPr>
            <w:tcW w:w="2500" w:type="dxa"/>
            <w:tcBorders>
              <w:top w:val="single" w:color="auto" w:sz="4" w:space="0"/>
              <w:left w:val="nil"/>
              <w:bottom w:val="nil"/>
              <w:right w:val="nil"/>
            </w:tcBorders>
            <w:noWrap w:val="0"/>
            <w:vAlign w:val="center"/>
          </w:tcPr>
          <w:p>
            <w:pPr>
              <w:widowControl/>
              <w:jc w:val="left"/>
              <w:rPr>
                <w:rFonts w:ascii="宋体" w:cs="宋体"/>
                <w:kern w:val="0"/>
                <w:sz w:val="20"/>
                <w:szCs w:val="20"/>
              </w:rPr>
            </w:pPr>
            <w:r>
              <w:rPr>
                <w:rFonts w:hint="eastAsia" w:ascii="宋体" w:hAnsi="宋体" w:cs="宋体"/>
                <w:kern w:val="0"/>
                <w:sz w:val="20"/>
                <w:szCs w:val="20"/>
              </w:rPr>
              <w:t>结转结余率≤</w:t>
            </w:r>
            <w:r>
              <w:rPr>
                <w:rFonts w:ascii="宋体" w:hAnsi="宋体" w:cs="宋体"/>
                <w:kern w:val="0"/>
                <w:sz w:val="20"/>
                <w:szCs w:val="20"/>
              </w:rPr>
              <w:t>0,</w:t>
            </w:r>
            <w:r>
              <w:rPr>
                <w:rFonts w:hint="eastAsia" w:ascii="宋体" w:hAnsi="宋体" w:cs="宋体"/>
                <w:kern w:val="0"/>
                <w:sz w:val="20"/>
                <w:szCs w:val="20"/>
              </w:rPr>
              <w:t>得</w:t>
            </w:r>
            <w:r>
              <w:rPr>
                <w:rFonts w:ascii="宋体" w:hAnsi="宋体" w:cs="宋体"/>
                <w:kern w:val="0"/>
                <w:sz w:val="20"/>
                <w:szCs w:val="20"/>
              </w:rPr>
              <w:t>1</w:t>
            </w:r>
            <w:r>
              <w:rPr>
                <w:rFonts w:hint="eastAsia" w:ascii="宋体" w:hAnsi="宋体" w:cs="宋体"/>
                <w:kern w:val="0"/>
                <w:sz w:val="20"/>
                <w:szCs w:val="20"/>
              </w:rPr>
              <w:t>分；</w:t>
            </w:r>
            <w:r>
              <w:rPr>
                <w:rFonts w:ascii="宋体" w:cs="宋体"/>
                <w:kern w:val="0"/>
                <w:sz w:val="20"/>
                <w:szCs w:val="20"/>
              </w:rPr>
              <w:br w:type="textWrapping"/>
            </w:r>
            <w:r>
              <w:rPr>
                <w:rFonts w:ascii="宋体" w:hAnsi="宋体" w:cs="宋体"/>
                <w:kern w:val="0"/>
                <w:sz w:val="20"/>
                <w:szCs w:val="20"/>
              </w:rPr>
              <w:t>0%-5%(</w:t>
            </w:r>
            <w:r>
              <w:rPr>
                <w:rFonts w:hint="eastAsia" w:ascii="宋体" w:hAnsi="宋体" w:cs="宋体"/>
                <w:kern w:val="0"/>
                <w:sz w:val="20"/>
                <w:szCs w:val="20"/>
              </w:rPr>
              <w:t>含），得</w:t>
            </w:r>
            <w:r>
              <w:rPr>
                <w:rFonts w:ascii="宋体" w:hAnsi="宋体" w:cs="宋体"/>
                <w:kern w:val="0"/>
                <w:sz w:val="20"/>
                <w:szCs w:val="20"/>
              </w:rPr>
              <w:t>0. 5</w:t>
            </w:r>
            <w:r>
              <w:rPr>
                <w:rFonts w:hint="eastAsia" w:ascii="宋体" w:hAnsi="宋体" w:cs="宋体"/>
                <w:kern w:val="0"/>
                <w:sz w:val="20"/>
                <w:szCs w:val="20"/>
              </w:rPr>
              <w:t>分；</w:t>
            </w:r>
            <w:r>
              <w:rPr>
                <w:rFonts w:ascii="宋体" w:cs="宋体"/>
                <w:kern w:val="0"/>
                <w:sz w:val="20"/>
                <w:szCs w:val="20"/>
              </w:rPr>
              <w:br w:type="textWrapping"/>
            </w:r>
            <w:r>
              <w:rPr>
                <w:rFonts w:hint="eastAsia" w:ascii="宋体" w:hAnsi="宋体" w:cs="宋体"/>
                <w:kern w:val="0"/>
                <w:sz w:val="20"/>
                <w:szCs w:val="20"/>
              </w:rPr>
              <w:t>＞</w:t>
            </w:r>
            <w:r>
              <w:rPr>
                <w:rFonts w:ascii="宋体" w:hAnsi="宋体" w:cs="宋体"/>
                <w:kern w:val="0"/>
                <w:sz w:val="20"/>
                <w:szCs w:val="20"/>
              </w:rPr>
              <w:t>5%,</w:t>
            </w:r>
            <w:r>
              <w:rPr>
                <w:rFonts w:hint="eastAsia" w:ascii="宋体" w:hAnsi="宋体" w:cs="宋体"/>
                <w:kern w:val="0"/>
                <w:sz w:val="20"/>
                <w:szCs w:val="20"/>
              </w:rPr>
              <w:t>得</w:t>
            </w:r>
            <w:r>
              <w:rPr>
                <w:rFonts w:ascii="宋体" w:hAnsi="宋体" w:cs="宋体"/>
                <w:kern w:val="0"/>
                <w:sz w:val="20"/>
                <w:szCs w:val="20"/>
              </w:rPr>
              <w:t>0</w:t>
            </w:r>
            <w:r>
              <w:rPr>
                <w:rFonts w:hint="eastAsia" w:ascii="宋体" w:hAnsi="宋体" w:cs="宋体"/>
                <w:kern w:val="0"/>
                <w:sz w:val="20"/>
                <w:szCs w:val="20"/>
              </w:rPr>
              <w:t>分。</w:t>
            </w:r>
          </w:p>
        </w:tc>
        <w:tc>
          <w:tcPr>
            <w:tcW w:w="860"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cs="宋体"/>
                <w:kern w:val="0"/>
                <w:sz w:val="24"/>
                <w:szCs w:val="24"/>
              </w:rPr>
            </w:pPr>
            <w:r>
              <w:rPr>
                <w:rFonts w:hint="eastAsia" w:ascii="宋体" w:hAnsi="宋体" w:cs="宋体"/>
                <w:kern w:val="0"/>
                <w:sz w:val="24"/>
                <w:szCs w:val="24"/>
              </w:rPr>
              <w:t>0.5</w:t>
            </w:r>
          </w:p>
        </w:tc>
      </w:tr>
      <w:tr>
        <w:trPr>
          <w:trHeight w:val="312" w:hRule="atLeast"/>
        </w:trPr>
        <w:tc>
          <w:tcPr>
            <w:tcW w:w="62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cs="宋体"/>
                <w:kern w:val="0"/>
                <w:sz w:val="20"/>
                <w:szCs w:val="20"/>
              </w:rPr>
            </w:pPr>
          </w:p>
        </w:tc>
        <w:tc>
          <w:tcPr>
            <w:tcW w:w="62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cs="宋体"/>
                <w:kern w:val="0"/>
                <w:sz w:val="20"/>
                <w:szCs w:val="20"/>
              </w:rPr>
            </w:pPr>
          </w:p>
        </w:tc>
        <w:tc>
          <w:tcPr>
            <w:tcW w:w="880" w:type="dxa"/>
            <w:vMerge w:val="restart"/>
            <w:tcBorders>
              <w:top w:val="nil"/>
              <w:left w:val="single" w:color="auto" w:sz="4" w:space="0"/>
              <w:bottom w:val="single" w:color="auto" w:sz="4" w:space="0"/>
              <w:right w:val="single" w:color="auto" w:sz="4" w:space="0"/>
            </w:tcBorders>
            <w:noWrap w:val="0"/>
            <w:vAlign w:val="center"/>
          </w:tcPr>
          <w:p>
            <w:pPr>
              <w:widowControl/>
              <w:jc w:val="left"/>
              <w:rPr>
                <w:rFonts w:ascii="宋体" w:cs="宋体"/>
                <w:kern w:val="0"/>
                <w:sz w:val="20"/>
                <w:szCs w:val="20"/>
              </w:rPr>
            </w:pPr>
            <w:r>
              <w:rPr>
                <w:rFonts w:hint="eastAsia" w:ascii="宋体" w:hAnsi="宋体" w:cs="宋体"/>
                <w:kern w:val="0"/>
                <w:sz w:val="20"/>
                <w:szCs w:val="20"/>
              </w:rPr>
              <w:t>公用经费控制率</w:t>
            </w:r>
          </w:p>
        </w:tc>
        <w:tc>
          <w:tcPr>
            <w:tcW w:w="420"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ascii="宋体" w:cs="宋体"/>
                <w:kern w:val="0"/>
                <w:sz w:val="20"/>
                <w:szCs w:val="20"/>
              </w:rPr>
            </w:pPr>
            <w:r>
              <w:rPr>
                <w:rFonts w:ascii="宋体" w:hAnsi="宋体" w:cs="宋体"/>
                <w:kern w:val="0"/>
                <w:sz w:val="20"/>
                <w:szCs w:val="20"/>
              </w:rPr>
              <w:t>2</w:t>
            </w:r>
          </w:p>
        </w:tc>
        <w:tc>
          <w:tcPr>
            <w:tcW w:w="382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cs="宋体"/>
                <w:kern w:val="0"/>
                <w:sz w:val="20"/>
                <w:szCs w:val="20"/>
              </w:rPr>
            </w:pPr>
            <w:r>
              <w:rPr>
                <w:rFonts w:ascii="宋体" w:hAnsi="宋体" w:cs="宋体"/>
                <w:kern w:val="0"/>
                <w:sz w:val="20"/>
                <w:szCs w:val="20"/>
              </w:rPr>
              <w:t xml:space="preserve">  </w:t>
            </w:r>
            <w:r>
              <w:rPr>
                <w:rFonts w:hint="eastAsia" w:ascii="宋体" w:hAnsi="宋体" w:cs="宋体"/>
                <w:kern w:val="0"/>
                <w:sz w:val="20"/>
                <w:szCs w:val="20"/>
              </w:rPr>
              <w:t>部门本年度实际支出的公用经费总额与预算安排的公用经费总额的比率，用以反映和考核部门对机构运转成本的实际控制程度。</w:t>
            </w:r>
            <w:r>
              <w:rPr>
                <w:rFonts w:ascii="宋体" w:cs="宋体"/>
                <w:kern w:val="0"/>
                <w:sz w:val="20"/>
                <w:szCs w:val="20"/>
              </w:rPr>
              <w:br w:type="textWrapping"/>
            </w:r>
            <w:r>
              <w:rPr>
                <w:rFonts w:ascii="宋体" w:hAnsi="宋体" w:cs="宋体"/>
                <w:kern w:val="0"/>
                <w:sz w:val="20"/>
                <w:szCs w:val="20"/>
              </w:rPr>
              <w:t xml:space="preserve">  </w:t>
            </w:r>
            <w:r>
              <w:rPr>
                <w:rFonts w:hint="eastAsia" w:ascii="宋体" w:hAnsi="宋体" w:cs="宋体"/>
                <w:kern w:val="0"/>
                <w:sz w:val="20"/>
                <w:szCs w:val="20"/>
              </w:rPr>
              <w:t>公用经费控制率</w:t>
            </w:r>
            <w:r>
              <w:rPr>
                <w:rFonts w:ascii="宋体" w:hAnsi="宋体" w:cs="宋体"/>
                <w:kern w:val="0"/>
                <w:sz w:val="20"/>
                <w:szCs w:val="20"/>
              </w:rPr>
              <w:t>=</w:t>
            </w:r>
            <w:r>
              <w:rPr>
                <w:rFonts w:hint="eastAsia" w:ascii="宋体" w:hAnsi="宋体" w:cs="宋体"/>
                <w:kern w:val="0"/>
                <w:sz w:val="20"/>
                <w:szCs w:val="20"/>
              </w:rPr>
              <w:t>（实际支出公用经费总额</w:t>
            </w:r>
            <w:r>
              <w:rPr>
                <w:rFonts w:ascii="宋体" w:hAnsi="宋体" w:cs="宋体"/>
                <w:kern w:val="0"/>
                <w:sz w:val="20"/>
                <w:szCs w:val="20"/>
              </w:rPr>
              <w:t>/</w:t>
            </w:r>
            <w:r>
              <w:rPr>
                <w:rFonts w:hint="eastAsia" w:ascii="宋体" w:hAnsi="宋体" w:cs="宋体"/>
                <w:kern w:val="0"/>
                <w:sz w:val="20"/>
                <w:szCs w:val="20"/>
              </w:rPr>
              <w:t>预算安排公用经费总额）×</w:t>
            </w:r>
            <w:r>
              <w:rPr>
                <w:rFonts w:ascii="宋体" w:hAnsi="宋体" w:cs="宋体"/>
                <w:kern w:val="0"/>
                <w:sz w:val="20"/>
                <w:szCs w:val="20"/>
              </w:rPr>
              <w:t>100%</w:t>
            </w:r>
            <w:r>
              <w:rPr>
                <w:rFonts w:hint="eastAsia" w:ascii="宋体" w:hAnsi="宋体" w:cs="宋体"/>
                <w:kern w:val="0"/>
                <w:sz w:val="20"/>
                <w:szCs w:val="20"/>
              </w:rPr>
              <w:t>。</w:t>
            </w:r>
          </w:p>
        </w:tc>
        <w:tc>
          <w:tcPr>
            <w:tcW w:w="2500" w:type="dxa"/>
            <w:vMerge w:val="restart"/>
            <w:tcBorders>
              <w:top w:val="single" w:color="auto" w:sz="4" w:space="0"/>
              <w:left w:val="single" w:color="auto" w:sz="4" w:space="0"/>
              <w:bottom w:val="single" w:color="000000" w:sz="4" w:space="0"/>
              <w:right w:val="nil"/>
            </w:tcBorders>
            <w:noWrap w:val="0"/>
            <w:vAlign w:val="center"/>
          </w:tcPr>
          <w:p>
            <w:pPr>
              <w:widowControl/>
              <w:jc w:val="left"/>
              <w:rPr>
                <w:rFonts w:ascii="宋体" w:cs="宋体"/>
                <w:kern w:val="0"/>
                <w:sz w:val="20"/>
                <w:szCs w:val="20"/>
              </w:rPr>
            </w:pPr>
            <w:r>
              <w:rPr>
                <w:rFonts w:hint="eastAsia" w:ascii="宋体" w:hAnsi="宋体" w:cs="宋体"/>
                <w:kern w:val="0"/>
                <w:sz w:val="20"/>
                <w:szCs w:val="20"/>
              </w:rPr>
              <w:t>公用经费控制率≤</w:t>
            </w:r>
            <w:r>
              <w:rPr>
                <w:rFonts w:ascii="宋体" w:hAnsi="宋体" w:cs="宋体"/>
                <w:kern w:val="0"/>
                <w:sz w:val="20"/>
                <w:szCs w:val="20"/>
              </w:rPr>
              <w:t>100%</w:t>
            </w:r>
            <w:r>
              <w:rPr>
                <w:rFonts w:hint="eastAsia" w:ascii="宋体" w:hAnsi="宋体" w:cs="宋体"/>
                <w:kern w:val="0"/>
                <w:sz w:val="20"/>
                <w:szCs w:val="20"/>
              </w:rPr>
              <w:t>，得</w:t>
            </w:r>
            <w:r>
              <w:rPr>
                <w:rFonts w:ascii="宋体" w:hAnsi="宋体" w:cs="宋体"/>
                <w:kern w:val="0"/>
                <w:sz w:val="20"/>
                <w:szCs w:val="20"/>
              </w:rPr>
              <w:t>2</w:t>
            </w:r>
            <w:r>
              <w:rPr>
                <w:rFonts w:hint="eastAsia" w:ascii="宋体" w:hAnsi="宋体" w:cs="宋体"/>
                <w:kern w:val="0"/>
                <w:sz w:val="20"/>
                <w:szCs w:val="20"/>
              </w:rPr>
              <w:t>分；</w:t>
            </w:r>
            <w:r>
              <w:rPr>
                <w:rFonts w:ascii="宋体" w:cs="宋体"/>
                <w:kern w:val="0"/>
                <w:sz w:val="20"/>
                <w:szCs w:val="20"/>
              </w:rPr>
              <w:br w:type="textWrapping"/>
            </w:r>
            <w:r>
              <w:rPr>
                <w:rFonts w:ascii="宋体" w:hAnsi="宋体" w:cs="宋体"/>
                <w:kern w:val="0"/>
                <w:sz w:val="20"/>
                <w:szCs w:val="20"/>
              </w:rPr>
              <w:t>100%-105%</w:t>
            </w:r>
            <w:r>
              <w:rPr>
                <w:rFonts w:hint="eastAsia" w:ascii="宋体" w:hAnsi="宋体" w:cs="宋体"/>
                <w:kern w:val="0"/>
                <w:sz w:val="20"/>
                <w:szCs w:val="20"/>
              </w:rPr>
              <w:t>（含），得</w:t>
            </w:r>
            <w:r>
              <w:rPr>
                <w:rFonts w:ascii="宋体" w:hAnsi="宋体" w:cs="宋体"/>
                <w:kern w:val="0"/>
                <w:sz w:val="20"/>
                <w:szCs w:val="20"/>
              </w:rPr>
              <w:t>1</w:t>
            </w:r>
            <w:r>
              <w:rPr>
                <w:rFonts w:hint="eastAsia" w:ascii="宋体" w:hAnsi="宋体" w:cs="宋体"/>
                <w:kern w:val="0"/>
                <w:sz w:val="20"/>
                <w:szCs w:val="20"/>
              </w:rPr>
              <w:t>分；</w:t>
            </w:r>
            <w:r>
              <w:rPr>
                <w:rFonts w:ascii="宋体" w:cs="宋体"/>
                <w:kern w:val="0"/>
                <w:sz w:val="20"/>
                <w:szCs w:val="20"/>
              </w:rPr>
              <w:br w:type="textWrapping"/>
            </w:r>
            <w:r>
              <w:rPr>
                <w:rFonts w:ascii="宋体" w:hAnsi="宋体" w:cs="宋体"/>
                <w:kern w:val="0"/>
                <w:sz w:val="20"/>
                <w:szCs w:val="20"/>
              </w:rPr>
              <w:t>105%-110%</w:t>
            </w:r>
            <w:r>
              <w:rPr>
                <w:rFonts w:hint="eastAsia" w:ascii="宋体" w:hAnsi="宋体" w:cs="宋体"/>
                <w:kern w:val="0"/>
                <w:sz w:val="20"/>
                <w:szCs w:val="20"/>
              </w:rPr>
              <w:t>（含），得</w:t>
            </w:r>
            <w:r>
              <w:rPr>
                <w:rFonts w:ascii="宋体" w:hAnsi="宋体" w:cs="宋体"/>
                <w:kern w:val="0"/>
                <w:sz w:val="20"/>
                <w:szCs w:val="20"/>
              </w:rPr>
              <w:t>0.5</w:t>
            </w:r>
            <w:r>
              <w:rPr>
                <w:rFonts w:hint="eastAsia" w:ascii="宋体" w:hAnsi="宋体" w:cs="宋体"/>
                <w:kern w:val="0"/>
                <w:sz w:val="20"/>
                <w:szCs w:val="20"/>
              </w:rPr>
              <w:t>分；</w:t>
            </w:r>
            <w:r>
              <w:rPr>
                <w:rFonts w:ascii="宋体" w:cs="宋体"/>
                <w:kern w:val="0"/>
                <w:sz w:val="20"/>
                <w:szCs w:val="20"/>
              </w:rPr>
              <w:br w:type="textWrapping"/>
            </w:r>
            <w:r>
              <w:rPr>
                <w:rFonts w:hint="eastAsia" w:ascii="宋体" w:hAnsi="宋体" w:cs="宋体"/>
                <w:kern w:val="0"/>
                <w:sz w:val="20"/>
                <w:szCs w:val="20"/>
              </w:rPr>
              <w:t>＞</w:t>
            </w:r>
            <w:r>
              <w:rPr>
                <w:rFonts w:ascii="宋体" w:hAnsi="宋体" w:cs="宋体"/>
                <w:kern w:val="0"/>
                <w:sz w:val="20"/>
                <w:szCs w:val="20"/>
              </w:rPr>
              <w:t>110%</w:t>
            </w:r>
            <w:r>
              <w:rPr>
                <w:rFonts w:hint="eastAsia" w:ascii="宋体" w:hAnsi="宋体" w:cs="宋体"/>
                <w:kern w:val="0"/>
                <w:sz w:val="20"/>
                <w:szCs w:val="20"/>
              </w:rPr>
              <w:t>，得</w:t>
            </w:r>
            <w:r>
              <w:rPr>
                <w:rFonts w:ascii="宋体" w:hAnsi="宋体" w:cs="宋体"/>
                <w:kern w:val="0"/>
                <w:sz w:val="20"/>
                <w:szCs w:val="20"/>
              </w:rPr>
              <w:t>0</w:t>
            </w:r>
            <w:r>
              <w:rPr>
                <w:rFonts w:hint="eastAsia" w:ascii="宋体" w:hAnsi="宋体" w:cs="宋体"/>
                <w:kern w:val="0"/>
                <w:sz w:val="20"/>
                <w:szCs w:val="20"/>
              </w:rPr>
              <w:t>分。</w:t>
            </w:r>
          </w:p>
        </w:tc>
        <w:tc>
          <w:tcPr>
            <w:tcW w:w="860"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ascii="宋体" w:cs="宋体"/>
                <w:kern w:val="0"/>
                <w:sz w:val="24"/>
                <w:szCs w:val="24"/>
              </w:rPr>
            </w:pPr>
            <w:r>
              <w:rPr>
                <w:rFonts w:ascii="宋体" w:hAnsi="宋体" w:cs="宋体"/>
                <w:kern w:val="0"/>
                <w:sz w:val="24"/>
                <w:szCs w:val="24"/>
              </w:rPr>
              <w:t>2</w:t>
            </w:r>
          </w:p>
        </w:tc>
      </w:tr>
      <w:tr>
        <w:tblPrEx>
          <w:tblCellMar>
            <w:top w:w="0" w:type="dxa"/>
            <w:left w:w="108" w:type="dxa"/>
            <w:bottom w:w="0" w:type="dxa"/>
            <w:right w:w="108" w:type="dxa"/>
          </w:tblCellMar>
        </w:tblPrEx>
        <w:trPr>
          <w:trHeight w:val="975" w:hRule="atLeast"/>
        </w:trPr>
        <w:tc>
          <w:tcPr>
            <w:tcW w:w="62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cs="宋体"/>
                <w:kern w:val="0"/>
                <w:sz w:val="20"/>
                <w:szCs w:val="20"/>
              </w:rPr>
            </w:pPr>
          </w:p>
        </w:tc>
        <w:tc>
          <w:tcPr>
            <w:tcW w:w="62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cs="宋体"/>
                <w:kern w:val="0"/>
                <w:sz w:val="20"/>
                <w:szCs w:val="20"/>
              </w:rPr>
            </w:pPr>
          </w:p>
        </w:tc>
        <w:tc>
          <w:tcPr>
            <w:tcW w:w="88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cs="宋体"/>
                <w:kern w:val="0"/>
                <w:sz w:val="20"/>
                <w:szCs w:val="20"/>
              </w:rPr>
            </w:pPr>
          </w:p>
        </w:tc>
        <w:tc>
          <w:tcPr>
            <w:tcW w:w="42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cs="宋体"/>
                <w:kern w:val="0"/>
                <w:sz w:val="20"/>
                <w:szCs w:val="20"/>
              </w:rPr>
            </w:pPr>
          </w:p>
        </w:tc>
        <w:tc>
          <w:tcPr>
            <w:tcW w:w="382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cs="宋体"/>
                <w:kern w:val="0"/>
                <w:sz w:val="20"/>
                <w:szCs w:val="20"/>
              </w:rPr>
            </w:pPr>
          </w:p>
        </w:tc>
        <w:tc>
          <w:tcPr>
            <w:tcW w:w="2500" w:type="dxa"/>
            <w:vMerge w:val="continue"/>
            <w:tcBorders>
              <w:top w:val="single" w:color="auto" w:sz="4" w:space="0"/>
              <w:left w:val="single" w:color="auto" w:sz="4" w:space="0"/>
              <w:bottom w:val="single" w:color="000000" w:sz="4" w:space="0"/>
              <w:right w:val="nil"/>
            </w:tcBorders>
            <w:noWrap w:val="0"/>
            <w:vAlign w:val="center"/>
          </w:tcPr>
          <w:p>
            <w:pPr>
              <w:widowControl/>
              <w:jc w:val="left"/>
              <w:rPr>
                <w:rFonts w:ascii="宋体" w:cs="宋体"/>
                <w:kern w:val="0"/>
                <w:sz w:val="20"/>
                <w:szCs w:val="20"/>
              </w:rPr>
            </w:pPr>
          </w:p>
        </w:tc>
        <w:tc>
          <w:tcPr>
            <w:tcW w:w="86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cs="宋体"/>
                <w:kern w:val="0"/>
                <w:sz w:val="24"/>
                <w:szCs w:val="24"/>
              </w:rPr>
            </w:pPr>
          </w:p>
        </w:tc>
      </w:tr>
      <w:tr>
        <w:tblPrEx>
          <w:tblCellMar>
            <w:top w:w="0" w:type="dxa"/>
            <w:left w:w="108" w:type="dxa"/>
            <w:bottom w:w="0" w:type="dxa"/>
            <w:right w:w="108" w:type="dxa"/>
          </w:tblCellMar>
        </w:tblPrEx>
        <w:trPr>
          <w:trHeight w:val="1635" w:hRule="atLeast"/>
        </w:trPr>
        <w:tc>
          <w:tcPr>
            <w:tcW w:w="62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cs="宋体"/>
                <w:kern w:val="0"/>
                <w:sz w:val="20"/>
                <w:szCs w:val="20"/>
              </w:rPr>
            </w:pPr>
          </w:p>
        </w:tc>
        <w:tc>
          <w:tcPr>
            <w:tcW w:w="62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cs="宋体"/>
                <w:kern w:val="0"/>
                <w:sz w:val="20"/>
                <w:szCs w:val="20"/>
              </w:rPr>
            </w:pPr>
          </w:p>
        </w:tc>
        <w:tc>
          <w:tcPr>
            <w:tcW w:w="880" w:type="dxa"/>
            <w:tcBorders>
              <w:top w:val="nil"/>
              <w:left w:val="nil"/>
              <w:bottom w:val="single" w:color="auto" w:sz="4" w:space="0"/>
              <w:right w:val="single" w:color="auto" w:sz="4" w:space="0"/>
            </w:tcBorders>
            <w:noWrap w:val="0"/>
            <w:vAlign w:val="center"/>
          </w:tcPr>
          <w:p>
            <w:pPr>
              <w:widowControl/>
              <w:jc w:val="left"/>
              <w:rPr>
                <w:rFonts w:ascii="宋体" w:cs="宋体"/>
                <w:kern w:val="0"/>
                <w:sz w:val="20"/>
                <w:szCs w:val="20"/>
              </w:rPr>
            </w:pPr>
            <w:r>
              <w:rPr>
                <w:rFonts w:hint="eastAsia" w:ascii="宋体" w:hAnsi="宋体" w:cs="宋体"/>
                <w:kern w:val="0"/>
                <w:sz w:val="20"/>
                <w:szCs w:val="20"/>
              </w:rPr>
              <w:t>“三公经费”控制率</w:t>
            </w:r>
          </w:p>
        </w:tc>
        <w:tc>
          <w:tcPr>
            <w:tcW w:w="420" w:type="dxa"/>
            <w:tcBorders>
              <w:top w:val="nil"/>
              <w:left w:val="nil"/>
              <w:bottom w:val="single" w:color="auto" w:sz="4" w:space="0"/>
              <w:right w:val="single" w:color="auto" w:sz="4" w:space="0"/>
            </w:tcBorders>
            <w:noWrap w:val="0"/>
            <w:vAlign w:val="center"/>
          </w:tcPr>
          <w:p>
            <w:pPr>
              <w:widowControl/>
              <w:jc w:val="center"/>
              <w:rPr>
                <w:rFonts w:ascii="宋体" w:cs="宋体"/>
                <w:kern w:val="0"/>
                <w:sz w:val="20"/>
                <w:szCs w:val="20"/>
              </w:rPr>
            </w:pPr>
            <w:r>
              <w:rPr>
                <w:rFonts w:ascii="宋体" w:hAnsi="宋体" w:cs="宋体"/>
                <w:kern w:val="0"/>
                <w:sz w:val="20"/>
                <w:szCs w:val="20"/>
              </w:rPr>
              <w:t>1</w:t>
            </w:r>
          </w:p>
        </w:tc>
        <w:tc>
          <w:tcPr>
            <w:tcW w:w="3820" w:type="dxa"/>
            <w:tcBorders>
              <w:top w:val="nil"/>
              <w:left w:val="nil"/>
              <w:bottom w:val="single" w:color="auto" w:sz="4" w:space="0"/>
              <w:right w:val="single" w:color="auto" w:sz="4" w:space="0"/>
            </w:tcBorders>
            <w:noWrap w:val="0"/>
            <w:vAlign w:val="center"/>
          </w:tcPr>
          <w:p>
            <w:pPr>
              <w:widowControl/>
              <w:jc w:val="left"/>
              <w:rPr>
                <w:rFonts w:ascii="宋体" w:cs="宋体"/>
                <w:kern w:val="0"/>
                <w:sz w:val="20"/>
                <w:szCs w:val="20"/>
              </w:rPr>
            </w:pPr>
            <w:r>
              <w:rPr>
                <w:rFonts w:ascii="宋体" w:hAnsi="宋体" w:cs="宋体"/>
                <w:kern w:val="0"/>
                <w:sz w:val="20"/>
                <w:szCs w:val="20"/>
              </w:rPr>
              <w:t xml:space="preserve">  </w:t>
            </w:r>
            <w:r>
              <w:rPr>
                <w:rFonts w:hint="eastAsia" w:ascii="宋体" w:hAnsi="宋体" w:cs="宋体"/>
                <w:kern w:val="0"/>
                <w:sz w:val="20"/>
                <w:szCs w:val="20"/>
              </w:rPr>
              <w:t>部门本年度“三公经费”实际支出数与预算安排数的比率，用以反映和考核部门对“三公经费”的实际控制程度。</w:t>
            </w:r>
            <w:r>
              <w:rPr>
                <w:rFonts w:ascii="宋体" w:cs="宋体"/>
                <w:kern w:val="0"/>
                <w:sz w:val="20"/>
                <w:szCs w:val="20"/>
              </w:rPr>
              <w:br w:type="textWrapping"/>
            </w:r>
            <w:r>
              <w:rPr>
                <w:rFonts w:ascii="宋体" w:hAnsi="宋体" w:cs="宋体"/>
                <w:kern w:val="0"/>
                <w:sz w:val="20"/>
                <w:szCs w:val="20"/>
              </w:rPr>
              <w:t xml:space="preserve">  </w:t>
            </w:r>
            <w:r>
              <w:rPr>
                <w:rFonts w:hint="eastAsia" w:ascii="宋体" w:hAnsi="宋体" w:cs="宋体"/>
                <w:kern w:val="0"/>
                <w:sz w:val="20"/>
                <w:szCs w:val="20"/>
              </w:rPr>
              <w:t>“三公经费”控制率</w:t>
            </w:r>
            <w:r>
              <w:rPr>
                <w:rFonts w:ascii="宋体" w:hAnsi="宋体" w:cs="宋体"/>
                <w:kern w:val="0"/>
                <w:sz w:val="20"/>
                <w:szCs w:val="20"/>
              </w:rPr>
              <w:t>=</w:t>
            </w:r>
            <w:r>
              <w:rPr>
                <w:rFonts w:hint="eastAsia" w:ascii="宋体" w:hAnsi="宋体" w:cs="宋体"/>
                <w:kern w:val="0"/>
                <w:sz w:val="20"/>
                <w:szCs w:val="20"/>
              </w:rPr>
              <w:t>（“三公经费”实际支出数</w:t>
            </w:r>
            <w:r>
              <w:rPr>
                <w:rFonts w:ascii="宋体" w:hAnsi="宋体" w:cs="宋体"/>
                <w:kern w:val="0"/>
                <w:sz w:val="20"/>
                <w:szCs w:val="20"/>
              </w:rPr>
              <w:t>/</w:t>
            </w:r>
            <w:r>
              <w:rPr>
                <w:rFonts w:hint="eastAsia" w:ascii="宋体" w:hAnsi="宋体" w:cs="宋体"/>
                <w:kern w:val="0"/>
                <w:sz w:val="20"/>
                <w:szCs w:val="20"/>
              </w:rPr>
              <w:t>“三公经费”预算安排数）×</w:t>
            </w:r>
            <w:r>
              <w:rPr>
                <w:rFonts w:ascii="宋体" w:hAnsi="宋体" w:cs="宋体"/>
                <w:kern w:val="0"/>
                <w:sz w:val="20"/>
                <w:szCs w:val="20"/>
              </w:rPr>
              <w:t>100%</w:t>
            </w:r>
            <w:r>
              <w:rPr>
                <w:rFonts w:hint="eastAsia" w:ascii="宋体" w:hAnsi="宋体" w:cs="宋体"/>
                <w:kern w:val="0"/>
                <w:sz w:val="20"/>
                <w:szCs w:val="20"/>
              </w:rPr>
              <w:t>。</w:t>
            </w:r>
          </w:p>
        </w:tc>
        <w:tc>
          <w:tcPr>
            <w:tcW w:w="2500" w:type="dxa"/>
            <w:tcBorders>
              <w:top w:val="nil"/>
              <w:left w:val="nil"/>
              <w:bottom w:val="nil"/>
              <w:right w:val="nil"/>
            </w:tcBorders>
            <w:noWrap w:val="0"/>
            <w:vAlign w:val="center"/>
          </w:tcPr>
          <w:p>
            <w:pPr>
              <w:widowControl/>
              <w:jc w:val="left"/>
              <w:rPr>
                <w:rFonts w:ascii="宋体" w:cs="宋体"/>
                <w:kern w:val="0"/>
                <w:sz w:val="20"/>
                <w:szCs w:val="20"/>
              </w:rPr>
            </w:pPr>
            <w:r>
              <w:rPr>
                <w:rFonts w:hint="eastAsia" w:ascii="宋体" w:hAnsi="宋体" w:cs="宋体"/>
                <w:kern w:val="0"/>
                <w:sz w:val="20"/>
                <w:szCs w:val="20"/>
              </w:rPr>
              <w:t>“三公经费”控制率≤</w:t>
            </w:r>
            <w:r>
              <w:rPr>
                <w:rFonts w:ascii="宋体" w:hAnsi="宋体" w:cs="宋体"/>
                <w:kern w:val="0"/>
                <w:sz w:val="20"/>
                <w:szCs w:val="20"/>
              </w:rPr>
              <w:t>100%</w:t>
            </w:r>
            <w:r>
              <w:rPr>
                <w:rFonts w:hint="eastAsia" w:ascii="宋体" w:hAnsi="宋体" w:cs="宋体"/>
                <w:kern w:val="0"/>
                <w:sz w:val="20"/>
                <w:szCs w:val="20"/>
              </w:rPr>
              <w:t>，得</w:t>
            </w:r>
            <w:r>
              <w:rPr>
                <w:rFonts w:ascii="宋体" w:hAnsi="宋体" w:cs="宋体"/>
                <w:kern w:val="0"/>
                <w:sz w:val="20"/>
                <w:szCs w:val="20"/>
              </w:rPr>
              <w:t>1</w:t>
            </w:r>
            <w:r>
              <w:rPr>
                <w:rFonts w:hint="eastAsia" w:ascii="宋体" w:hAnsi="宋体" w:cs="宋体"/>
                <w:kern w:val="0"/>
                <w:sz w:val="20"/>
                <w:szCs w:val="20"/>
              </w:rPr>
              <w:t>分；</w:t>
            </w:r>
            <w:r>
              <w:rPr>
                <w:rFonts w:ascii="宋体" w:cs="宋体"/>
                <w:kern w:val="0"/>
                <w:sz w:val="20"/>
                <w:szCs w:val="20"/>
              </w:rPr>
              <w:br w:type="textWrapping"/>
            </w:r>
            <w:r>
              <w:rPr>
                <w:rFonts w:ascii="宋体" w:hAnsi="宋体" w:cs="宋体"/>
                <w:kern w:val="0"/>
                <w:sz w:val="20"/>
                <w:szCs w:val="20"/>
              </w:rPr>
              <w:t>100%-105%</w:t>
            </w:r>
            <w:r>
              <w:rPr>
                <w:rFonts w:hint="eastAsia" w:ascii="宋体" w:hAnsi="宋体" w:cs="宋体"/>
                <w:kern w:val="0"/>
                <w:sz w:val="20"/>
                <w:szCs w:val="20"/>
              </w:rPr>
              <w:t>（含），得</w:t>
            </w:r>
            <w:r>
              <w:rPr>
                <w:rFonts w:ascii="宋体" w:hAnsi="宋体" w:cs="宋体"/>
                <w:kern w:val="0"/>
                <w:sz w:val="20"/>
                <w:szCs w:val="20"/>
              </w:rPr>
              <w:t>0.5</w:t>
            </w:r>
            <w:r>
              <w:rPr>
                <w:rFonts w:hint="eastAsia" w:ascii="宋体" w:hAnsi="宋体" w:cs="宋体"/>
                <w:kern w:val="0"/>
                <w:sz w:val="20"/>
                <w:szCs w:val="20"/>
              </w:rPr>
              <w:t>分；</w:t>
            </w:r>
            <w:r>
              <w:rPr>
                <w:rFonts w:ascii="宋体" w:cs="宋体"/>
                <w:kern w:val="0"/>
                <w:sz w:val="20"/>
                <w:szCs w:val="20"/>
              </w:rPr>
              <w:br w:type="textWrapping"/>
            </w:r>
            <w:r>
              <w:rPr>
                <w:rFonts w:hint="eastAsia" w:ascii="宋体" w:hAnsi="宋体" w:cs="宋体"/>
                <w:kern w:val="0"/>
                <w:sz w:val="20"/>
                <w:szCs w:val="20"/>
              </w:rPr>
              <w:t>＞</w:t>
            </w:r>
            <w:r>
              <w:rPr>
                <w:rFonts w:ascii="宋体" w:hAnsi="宋体" w:cs="宋体"/>
                <w:kern w:val="0"/>
                <w:sz w:val="20"/>
                <w:szCs w:val="20"/>
              </w:rPr>
              <w:t>105%</w:t>
            </w:r>
            <w:r>
              <w:rPr>
                <w:rFonts w:hint="eastAsia" w:ascii="宋体" w:hAnsi="宋体" w:cs="宋体"/>
                <w:kern w:val="0"/>
                <w:sz w:val="20"/>
                <w:szCs w:val="20"/>
              </w:rPr>
              <w:t>，得</w:t>
            </w:r>
            <w:r>
              <w:rPr>
                <w:rFonts w:ascii="宋体" w:hAnsi="宋体" w:cs="宋体"/>
                <w:kern w:val="0"/>
                <w:sz w:val="20"/>
                <w:szCs w:val="20"/>
              </w:rPr>
              <w:t>0</w:t>
            </w:r>
            <w:r>
              <w:rPr>
                <w:rFonts w:hint="eastAsia" w:ascii="宋体" w:hAnsi="宋体" w:cs="宋体"/>
                <w:kern w:val="0"/>
                <w:sz w:val="20"/>
                <w:szCs w:val="20"/>
              </w:rPr>
              <w:t>分。</w:t>
            </w:r>
          </w:p>
        </w:tc>
        <w:tc>
          <w:tcPr>
            <w:tcW w:w="860" w:type="dxa"/>
            <w:tcBorders>
              <w:top w:val="nil"/>
              <w:left w:val="single" w:color="auto" w:sz="4" w:space="0"/>
              <w:bottom w:val="single" w:color="auto" w:sz="4" w:space="0"/>
              <w:right w:val="single" w:color="auto" w:sz="4" w:space="0"/>
            </w:tcBorders>
            <w:noWrap w:val="0"/>
            <w:vAlign w:val="center"/>
          </w:tcPr>
          <w:p>
            <w:pPr>
              <w:widowControl/>
              <w:jc w:val="center"/>
              <w:rPr>
                <w:rFonts w:ascii="宋体" w:cs="宋体"/>
                <w:kern w:val="0"/>
                <w:sz w:val="24"/>
                <w:szCs w:val="24"/>
              </w:rPr>
            </w:pPr>
            <w:r>
              <w:rPr>
                <w:rFonts w:ascii="宋体" w:hAnsi="宋体" w:cs="宋体"/>
                <w:kern w:val="0"/>
                <w:sz w:val="24"/>
                <w:szCs w:val="24"/>
              </w:rPr>
              <w:t>1</w:t>
            </w:r>
          </w:p>
        </w:tc>
      </w:tr>
      <w:tr>
        <w:tblPrEx>
          <w:tblCellMar>
            <w:top w:w="0" w:type="dxa"/>
            <w:left w:w="108" w:type="dxa"/>
            <w:bottom w:w="0" w:type="dxa"/>
            <w:right w:w="108" w:type="dxa"/>
          </w:tblCellMar>
        </w:tblPrEx>
        <w:trPr>
          <w:trHeight w:val="1740" w:hRule="atLeast"/>
        </w:trPr>
        <w:tc>
          <w:tcPr>
            <w:tcW w:w="62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cs="宋体"/>
                <w:kern w:val="0"/>
                <w:sz w:val="20"/>
                <w:szCs w:val="20"/>
              </w:rPr>
            </w:pPr>
          </w:p>
        </w:tc>
        <w:tc>
          <w:tcPr>
            <w:tcW w:w="62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cs="宋体"/>
                <w:kern w:val="0"/>
                <w:sz w:val="20"/>
                <w:szCs w:val="20"/>
              </w:rPr>
            </w:pPr>
          </w:p>
        </w:tc>
        <w:tc>
          <w:tcPr>
            <w:tcW w:w="880" w:type="dxa"/>
            <w:tcBorders>
              <w:top w:val="nil"/>
              <w:left w:val="nil"/>
              <w:bottom w:val="single" w:color="auto" w:sz="4" w:space="0"/>
              <w:right w:val="single" w:color="auto" w:sz="4" w:space="0"/>
            </w:tcBorders>
            <w:noWrap w:val="0"/>
            <w:vAlign w:val="center"/>
          </w:tcPr>
          <w:p>
            <w:pPr>
              <w:widowControl/>
              <w:jc w:val="left"/>
              <w:rPr>
                <w:rFonts w:ascii="宋体" w:cs="宋体"/>
                <w:kern w:val="0"/>
                <w:sz w:val="20"/>
                <w:szCs w:val="20"/>
              </w:rPr>
            </w:pPr>
            <w:r>
              <w:rPr>
                <w:rFonts w:hint="eastAsia" w:ascii="宋体" w:hAnsi="宋体" w:cs="宋体"/>
                <w:kern w:val="0"/>
                <w:sz w:val="20"/>
                <w:szCs w:val="20"/>
              </w:rPr>
              <w:t>政府采购执行率</w:t>
            </w:r>
          </w:p>
        </w:tc>
        <w:tc>
          <w:tcPr>
            <w:tcW w:w="420" w:type="dxa"/>
            <w:tcBorders>
              <w:top w:val="nil"/>
              <w:left w:val="nil"/>
              <w:bottom w:val="single" w:color="auto" w:sz="4" w:space="0"/>
              <w:right w:val="single" w:color="auto" w:sz="4" w:space="0"/>
            </w:tcBorders>
            <w:noWrap w:val="0"/>
            <w:vAlign w:val="center"/>
          </w:tcPr>
          <w:p>
            <w:pPr>
              <w:widowControl/>
              <w:jc w:val="center"/>
              <w:rPr>
                <w:rFonts w:ascii="宋体" w:cs="宋体"/>
                <w:kern w:val="0"/>
                <w:sz w:val="20"/>
                <w:szCs w:val="20"/>
              </w:rPr>
            </w:pPr>
            <w:r>
              <w:rPr>
                <w:rFonts w:ascii="宋体" w:hAnsi="宋体" w:cs="宋体"/>
                <w:kern w:val="0"/>
                <w:sz w:val="20"/>
                <w:szCs w:val="20"/>
              </w:rPr>
              <w:t>2</w:t>
            </w:r>
          </w:p>
        </w:tc>
        <w:tc>
          <w:tcPr>
            <w:tcW w:w="3820" w:type="dxa"/>
            <w:tcBorders>
              <w:top w:val="nil"/>
              <w:left w:val="nil"/>
              <w:bottom w:val="nil"/>
              <w:right w:val="single" w:color="auto" w:sz="4" w:space="0"/>
            </w:tcBorders>
            <w:noWrap w:val="0"/>
            <w:vAlign w:val="center"/>
          </w:tcPr>
          <w:p>
            <w:pPr>
              <w:widowControl/>
              <w:jc w:val="left"/>
              <w:rPr>
                <w:rFonts w:ascii="宋体" w:cs="宋体"/>
                <w:kern w:val="0"/>
                <w:sz w:val="20"/>
                <w:szCs w:val="20"/>
              </w:rPr>
            </w:pPr>
            <w:r>
              <w:rPr>
                <w:rFonts w:ascii="宋体" w:hAnsi="宋体" w:cs="宋体"/>
                <w:kern w:val="0"/>
                <w:sz w:val="20"/>
                <w:szCs w:val="20"/>
              </w:rPr>
              <w:t xml:space="preserve">  </w:t>
            </w:r>
            <w:r>
              <w:rPr>
                <w:rFonts w:hint="eastAsia" w:ascii="宋体" w:hAnsi="宋体" w:cs="宋体"/>
                <w:kern w:val="0"/>
                <w:sz w:val="20"/>
                <w:szCs w:val="20"/>
              </w:rPr>
              <w:t>部门本年度实际政府采购金额与年初政府采购预算的比率，用以反映和考核部门政府采购预算执行情况。</w:t>
            </w:r>
            <w:r>
              <w:rPr>
                <w:rFonts w:ascii="宋体" w:cs="宋体"/>
                <w:kern w:val="0"/>
                <w:sz w:val="20"/>
                <w:szCs w:val="20"/>
              </w:rPr>
              <w:br w:type="textWrapping"/>
            </w:r>
            <w:r>
              <w:rPr>
                <w:rFonts w:ascii="宋体" w:hAnsi="宋体" w:cs="宋体"/>
                <w:kern w:val="0"/>
                <w:sz w:val="20"/>
                <w:szCs w:val="20"/>
              </w:rPr>
              <w:t xml:space="preserve">  </w:t>
            </w:r>
            <w:r>
              <w:rPr>
                <w:rFonts w:hint="eastAsia" w:ascii="宋体" w:hAnsi="宋体" w:cs="宋体"/>
                <w:kern w:val="0"/>
                <w:sz w:val="20"/>
                <w:szCs w:val="20"/>
              </w:rPr>
              <w:t>政府采购执行率</w:t>
            </w:r>
            <w:r>
              <w:rPr>
                <w:rFonts w:ascii="宋体" w:hAnsi="宋体" w:cs="宋体"/>
                <w:kern w:val="0"/>
                <w:sz w:val="20"/>
                <w:szCs w:val="20"/>
              </w:rPr>
              <w:t>=</w:t>
            </w:r>
            <w:r>
              <w:rPr>
                <w:rFonts w:hint="eastAsia" w:ascii="宋体" w:hAnsi="宋体" w:cs="宋体"/>
                <w:kern w:val="0"/>
                <w:sz w:val="20"/>
                <w:szCs w:val="20"/>
              </w:rPr>
              <w:t>（实际政府采购金额</w:t>
            </w:r>
            <w:r>
              <w:rPr>
                <w:rFonts w:ascii="宋体" w:hAnsi="宋体" w:cs="宋体"/>
                <w:kern w:val="0"/>
                <w:sz w:val="20"/>
                <w:szCs w:val="20"/>
              </w:rPr>
              <w:t>/</w:t>
            </w:r>
            <w:r>
              <w:rPr>
                <w:rFonts w:hint="eastAsia" w:ascii="宋体" w:hAnsi="宋体" w:cs="宋体"/>
                <w:kern w:val="0"/>
                <w:sz w:val="20"/>
                <w:szCs w:val="20"/>
              </w:rPr>
              <w:t>政府采购预算数）×</w:t>
            </w:r>
            <w:r>
              <w:rPr>
                <w:rFonts w:ascii="宋体" w:hAnsi="宋体" w:cs="宋体"/>
                <w:kern w:val="0"/>
                <w:sz w:val="20"/>
                <w:szCs w:val="20"/>
              </w:rPr>
              <w:t>100%</w:t>
            </w:r>
            <w:r>
              <w:rPr>
                <w:rFonts w:hint="eastAsia" w:ascii="宋体" w:hAnsi="宋体" w:cs="宋体"/>
                <w:kern w:val="0"/>
                <w:sz w:val="20"/>
                <w:szCs w:val="20"/>
              </w:rPr>
              <w:t>；</w:t>
            </w:r>
            <w:r>
              <w:rPr>
                <w:rFonts w:ascii="宋体" w:cs="宋体"/>
                <w:kern w:val="0"/>
                <w:sz w:val="20"/>
                <w:szCs w:val="20"/>
              </w:rPr>
              <w:br w:type="textWrapping"/>
            </w:r>
            <w:r>
              <w:rPr>
                <w:rFonts w:ascii="宋体" w:hAnsi="宋体" w:cs="宋体"/>
                <w:kern w:val="0"/>
                <w:sz w:val="20"/>
                <w:szCs w:val="20"/>
              </w:rPr>
              <w:t xml:space="preserve">  </w:t>
            </w:r>
            <w:r>
              <w:rPr>
                <w:rFonts w:hint="eastAsia" w:ascii="宋体" w:hAnsi="宋体" w:cs="宋体"/>
                <w:kern w:val="0"/>
                <w:sz w:val="20"/>
                <w:szCs w:val="20"/>
              </w:rPr>
              <w:t>政府采购预算：采购机关根据事业发展计划和行政任务编制的、并经过规定程序批准的年度政府采购计划。</w:t>
            </w:r>
          </w:p>
        </w:tc>
        <w:tc>
          <w:tcPr>
            <w:tcW w:w="2500" w:type="dxa"/>
            <w:tcBorders>
              <w:top w:val="single" w:color="auto" w:sz="4" w:space="0"/>
              <w:left w:val="nil"/>
              <w:bottom w:val="nil"/>
              <w:right w:val="nil"/>
            </w:tcBorders>
            <w:noWrap w:val="0"/>
            <w:vAlign w:val="center"/>
          </w:tcPr>
          <w:p>
            <w:pPr>
              <w:widowControl/>
              <w:jc w:val="left"/>
              <w:rPr>
                <w:rFonts w:ascii="宋体" w:cs="宋体"/>
                <w:kern w:val="0"/>
                <w:sz w:val="20"/>
                <w:szCs w:val="20"/>
              </w:rPr>
            </w:pPr>
            <w:r>
              <w:rPr>
                <w:rFonts w:hint="eastAsia" w:ascii="宋体" w:hAnsi="宋体" w:cs="宋体"/>
                <w:kern w:val="0"/>
                <w:sz w:val="20"/>
                <w:szCs w:val="20"/>
              </w:rPr>
              <w:t>政府采购执行率</w:t>
            </w:r>
            <w:r>
              <w:rPr>
                <w:rFonts w:ascii="宋体" w:hAnsi="宋体" w:cs="宋体"/>
                <w:kern w:val="0"/>
                <w:sz w:val="20"/>
                <w:szCs w:val="20"/>
              </w:rPr>
              <w:t>=100%</w:t>
            </w:r>
            <w:r>
              <w:rPr>
                <w:rFonts w:hint="eastAsia" w:ascii="宋体" w:hAnsi="宋体" w:cs="宋体"/>
                <w:kern w:val="0"/>
                <w:sz w:val="20"/>
                <w:szCs w:val="20"/>
              </w:rPr>
              <w:t>，得</w:t>
            </w:r>
            <w:r>
              <w:rPr>
                <w:rFonts w:ascii="宋体" w:hAnsi="宋体" w:cs="宋体"/>
                <w:kern w:val="0"/>
                <w:sz w:val="20"/>
                <w:szCs w:val="20"/>
              </w:rPr>
              <w:t>2</w:t>
            </w:r>
            <w:r>
              <w:rPr>
                <w:rFonts w:hint="eastAsia" w:ascii="宋体" w:hAnsi="宋体" w:cs="宋体"/>
                <w:kern w:val="0"/>
                <w:sz w:val="20"/>
                <w:szCs w:val="20"/>
              </w:rPr>
              <w:t>分；</w:t>
            </w:r>
            <w:r>
              <w:rPr>
                <w:rFonts w:ascii="宋体" w:cs="宋体"/>
                <w:kern w:val="0"/>
                <w:sz w:val="20"/>
                <w:szCs w:val="20"/>
              </w:rPr>
              <w:br w:type="textWrapping"/>
            </w:r>
            <w:r>
              <w:rPr>
                <w:rFonts w:hint="eastAsia" w:ascii="宋体" w:hAnsi="宋体" w:cs="宋体"/>
                <w:kern w:val="0"/>
                <w:sz w:val="20"/>
                <w:szCs w:val="20"/>
              </w:rPr>
              <w:t>每超过（降低）</w:t>
            </w:r>
            <w:r>
              <w:rPr>
                <w:rFonts w:ascii="宋体" w:hAnsi="宋体" w:cs="宋体"/>
                <w:kern w:val="0"/>
                <w:sz w:val="20"/>
                <w:szCs w:val="20"/>
              </w:rPr>
              <w:t>5%,</w:t>
            </w:r>
            <w:r>
              <w:rPr>
                <w:rFonts w:hint="eastAsia" w:ascii="宋体" w:hAnsi="宋体" w:cs="宋体"/>
                <w:kern w:val="0"/>
                <w:sz w:val="20"/>
                <w:szCs w:val="20"/>
              </w:rPr>
              <w:t>扣</w:t>
            </w:r>
            <w:r>
              <w:rPr>
                <w:rFonts w:ascii="宋体" w:hAnsi="宋体" w:cs="宋体"/>
                <w:kern w:val="0"/>
                <w:sz w:val="20"/>
                <w:szCs w:val="20"/>
              </w:rPr>
              <w:t>1</w:t>
            </w:r>
            <w:r>
              <w:rPr>
                <w:rFonts w:hint="eastAsia" w:ascii="宋体" w:hAnsi="宋体" w:cs="宋体"/>
                <w:kern w:val="0"/>
                <w:sz w:val="20"/>
                <w:szCs w:val="20"/>
              </w:rPr>
              <w:t>分，扣完为止。</w:t>
            </w:r>
          </w:p>
        </w:tc>
        <w:tc>
          <w:tcPr>
            <w:tcW w:w="860" w:type="dxa"/>
            <w:tcBorders>
              <w:top w:val="nil"/>
              <w:left w:val="single" w:color="auto" w:sz="4" w:space="0"/>
              <w:bottom w:val="single" w:color="auto" w:sz="4" w:space="0"/>
              <w:right w:val="single" w:color="auto" w:sz="4" w:space="0"/>
            </w:tcBorders>
            <w:noWrap w:val="0"/>
            <w:vAlign w:val="center"/>
          </w:tcPr>
          <w:p>
            <w:pPr>
              <w:widowControl/>
              <w:jc w:val="center"/>
              <w:rPr>
                <w:rFonts w:ascii="宋体" w:cs="宋体"/>
                <w:kern w:val="0"/>
                <w:sz w:val="24"/>
                <w:szCs w:val="24"/>
              </w:rPr>
            </w:pPr>
            <w:r>
              <w:rPr>
                <w:rFonts w:hint="eastAsia" w:ascii="宋体" w:hAnsi="宋体" w:cs="宋体"/>
                <w:kern w:val="0"/>
                <w:sz w:val="24"/>
                <w:szCs w:val="24"/>
              </w:rPr>
              <w:t>1</w:t>
            </w:r>
          </w:p>
        </w:tc>
      </w:tr>
      <w:tr>
        <w:trPr>
          <w:trHeight w:val="499" w:hRule="atLeast"/>
        </w:trPr>
        <w:tc>
          <w:tcPr>
            <w:tcW w:w="62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cs="宋体"/>
                <w:kern w:val="0"/>
                <w:sz w:val="20"/>
                <w:szCs w:val="20"/>
              </w:rPr>
            </w:pPr>
          </w:p>
        </w:tc>
        <w:tc>
          <w:tcPr>
            <w:tcW w:w="620" w:type="dxa"/>
            <w:vMerge w:val="restart"/>
            <w:tcBorders>
              <w:top w:val="nil"/>
              <w:left w:val="single" w:color="auto" w:sz="4" w:space="0"/>
              <w:bottom w:val="single" w:color="000000" w:sz="4" w:space="0"/>
              <w:right w:val="single" w:color="auto" w:sz="4" w:space="0"/>
            </w:tcBorders>
            <w:noWrap w:val="0"/>
            <w:vAlign w:val="center"/>
          </w:tcPr>
          <w:p>
            <w:pPr>
              <w:widowControl/>
              <w:jc w:val="center"/>
              <w:rPr>
                <w:rFonts w:ascii="宋体" w:cs="宋体"/>
                <w:kern w:val="0"/>
                <w:sz w:val="20"/>
                <w:szCs w:val="20"/>
              </w:rPr>
            </w:pPr>
            <w:r>
              <w:rPr>
                <w:rFonts w:hint="eastAsia" w:ascii="宋体" w:hAnsi="宋体" w:cs="宋体"/>
                <w:kern w:val="0"/>
                <w:sz w:val="20"/>
                <w:szCs w:val="20"/>
              </w:rPr>
              <w:t>预算管理</w:t>
            </w:r>
          </w:p>
        </w:tc>
        <w:tc>
          <w:tcPr>
            <w:tcW w:w="880" w:type="dxa"/>
            <w:vMerge w:val="restart"/>
            <w:tcBorders>
              <w:top w:val="nil"/>
              <w:left w:val="single" w:color="auto" w:sz="4" w:space="0"/>
              <w:bottom w:val="single" w:color="auto" w:sz="4" w:space="0"/>
              <w:right w:val="single" w:color="auto" w:sz="4" w:space="0"/>
            </w:tcBorders>
            <w:noWrap w:val="0"/>
            <w:vAlign w:val="center"/>
          </w:tcPr>
          <w:p>
            <w:pPr>
              <w:widowControl/>
              <w:jc w:val="left"/>
              <w:rPr>
                <w:rFonts w:ascii="宋体" w:cs="宋体"/>
                <w:kern w:val="0"/>
                <w:sz w:val="20"/>
                <w:szCs w:val="20"/>
              </w:rPr>
            </w:pPr>
            <w:r>
              <w:rPr>
                <w:rFonts w:hint="eastAsia" w:ascii="宋体" w:hAnsi="宋体" w:cs="宋体"/>
                <w:kern w:val="0"/>
                <w:sz w:val="20"/>
                <w:szCs w:val="20"/>
              </w:rPr>
              <w:t>管理制度健全性</w:t>
            </w:r>
          </w:p>
        </w:tc>
        <w:tc>
          <w:tcPr>
            <w:tcW w:w="420"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ascii="宋体" w:cs="宋体"/>
                <w:kern w:val="0"/>
                <w:sz w:val="20"/>
                <w:szCs w:val="20"/>
              </w:rPr>
            </w:pPr>
            <w:r>
              <w:rPr>
                <w:rFonts w:ascii="宋体" w:hAnsi="宋体" w:cs="宋体"/>
                <w:kern w:val="0"/>
                <w:sz w:val="20"/>
                <w:szCs w:val="20"/>
              </w:rPr>
              <w:t>2</w:t>
            </w:r>
          </w:p>
        </w:tc>
        <w:tc>
          <w:tcPr>
            <w:tcW w:w="3820" w:type="dxa"/>
            <w:vMerge w:val="restart"/>
            <w:tcBorders>
              <w:top w:val="single" w:color="auto" w:sz="4" w:space="0"/>
              <w:left w:val="single" w:color="auto" w:sz="4" w:space="0"/>
              <w:bottom w:val="single" w:color="000000" w:sz="4" w:space="0"/>
              <w:right w:val="single" w:color="auto" w:sz="4" w:space="0"/>
            </w:tcBorders>
            <w:noWrap w:val="0"/>
            <w:vAlign w:val="center"/>
          </w:tcPr>
          <w:p>
            <w:pPr>
              <w:widowControl/>
              <w:jc w:val="left"/>
              <w:rPr>
                <w:rFonts w:ascii="宋体" w:cs="宋体"/>
                <w:kern w:val="0"/>
                <w:sz w:val="20"/>
                <w:szCs w:val="20"/>
              </w:rPr>
            </w:pPr>
            <w:r>
              <w:rPr>
                <w:rFonts w:ascii="宋体" w:hAnsi="宋体" w:cs="宋体"/>
                <w:kern w:val="0"/>
                <w:sz w:val="20"/>
                <w:szCs w:val="20"/>
              </w:rPr>
              <w:t xml:space="preserve">  </w:t>
            </w:r>
            <w:r>
              <w:rPr>
                <w:rFonts w:hint="eastAsia" w:ascii="宋体" w:hAnsi="宋体" w:cs="宋体"/>
                <w:kern w:val="0"/>
                <w:sz w:val="20"/>
                <w:szCs w:val="20"/>
              </w:rPr>
              <w:t>部门为加强预算管理、规范财务行为而制定的管理制度是否健全完整，用以反映和考核部门预算管理制度对完成主要职责或促成事业发展的保障情况。</w:t>
            </w:r>
          </w:p>
        </w:tc>
        <w:tc>
          <w:tcPr>
            <w:tcW w:w="2500" w:type="dxa"/>
            <w:tcBorders>
              <w:top w:val="single" w:color="auto" w:sz="4" w:space="0"/>
              <w:left w:val="nil"/>
              <w:bottom w:val="nil"/>
              <w:right w:val="single" w:color="auto" w:sz="4" w:space="0"/>
            </w:tcBorders>
            <w:noWrap w:val="0"/>
            <w:vAlign w:val="center"/>
          </w:tcPr>
          <w:p>
            <w:pPr>
              <w:widowControl/>
              <w:spacing w:after="240"/>
              <w:jc w:val="left"/>
              <w:rPr>
                <w:rFonts w:ascii="宋体" w:cs="宋体"/>
                <w:kern w:val="0"/>
                <w:sz w:val="20"/>
                <w:szCs w:val="20"/>
              </w:rPr>
            </w:pPr>
            <w:r>
              <w:rPr>
                <w:rFonts w:hint="eastAsia" w:ascii="宋体" w:hAnsi="宋体" w:cs="宋体"/>
                <w:kern w:val="0"/>
                <w:sz w:val="20"/>
                <w:szCs w:val="20"/>
              </w:rPr>
              <w:t>①是否已制定或具有预算资金管理办法、内部财务管理制度、会计核算制度、本部门厉行节约制度等管理制度；</w:t>
            </w:r>
          </w:p>
        </w:tc>
        <w:tc>
          <w:tcPr>
            <w:tcW w:w="860"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ascii="宋体" w:cs="宋体"/>
                <w:kern w:val="0"/>
                <w:sz w:val="24"/>
                <w:szCs w:val="24"/>
              </w:rPr>
            </w:pPr>
            <w:r>
              <w:rPr>
                <w:rFonts w:ascii="宋体" w:hAnsi="宋体" w:cs="宋体"/>
                <w:kern w:val="0"/>
                <w:sz w:val="24"/>
                <w:szCs w:val="24"/>
              </w:rPr>
              <w:t>2</w:t>
            </w:r>
          </w:p>
        </w:tc>
      </w:tr>
      <w:tr>
        <w:tblPrEx>
          <w:tblCellMar>
            <w:top w:w="0" w:type="dxa"/>
            <w:left w:w="108" w:type="dxa"/>
            <w:bottom w:w="0" w:type="dxa"/>
            <w:right w:w="108" w:type="dxa"/>
          </w:tblCellMar>
        </w:tblPrEx>
        <w:trPr>
          <w:trHeight w:val="285" w:hRule="atLeast"/>
        </w:trPr>
        <w:tc>
          <w:tcPr>
            <w:tcW w:w="62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cs="宋体"/>
                <w:kern w:val="0"/>
                <w:sz w:val="20"/>
                <w:szCs w:val="20"/>
              </w:rPr>
            </w:pPr>
          </w:p>
        </w:tc>
        <w:tc>
          <w:tcPr>
            <w:tcW w:w="62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cs="宋体"/>
                <w:kern w:val="0"/>
                <w:sz w:val="20"/>
                <w:szCs w:val="20"/>
              </w:rPr>
            </w:pPr>
          </w:p>
        </w:tc>
        <w:tc>
          <w:tcPr>
            <w:tcW w:w="88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cs="宋体"/>
                <w:kern w:val="0"/>
                <w:sz w:val="20"/>
                <w:szCs w:val="20"/>
              </w:rPr>
            </w:pPr>
          </w:p>
        </w:tc>
        <w:tc>
          <w:tcPr>
            <w:tcW w:w="42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cs="宋体"/>
                <w:kern w:val="0"/>
                <w:sz w:val="20"/>
                <w:szCs w:val="20"/>
              </w:rPr>
            </w:pPr>
          </w:p>
        </w:tc>
        <w:tc>
          <w:tcPr>
            <w:tcW w:w="3820" w:type="dxa"/>
            <w:vMerge w:val="continue"/>
            <w:tcBorders>
              <w:top w:val="single" w:color="auto" w:sz="4" w:space="0"/>
              <w:left w:val="single" w:color="auto" w:sz="4" w:space="0"/>
              <w:bottom w:val="single" w:color="000000" w:sz="4" w:space="0"/>
              <w:right w:val="single" w:color="auto" w:sz="4" w:space="0"/>
            </w:tcBorders>
            <w:noWrap w:val="0"/>
            <w:vAlign w:val="center"/>
          </w:tcPr>
          <w:p>
            <w:pPr>
              <w:widowControl/>
              <w:jc w:val="left"/>
              <w:rPr>
                <w:rFonts w:ascii="宋体" w:cs="宋体"/>
                <w:kern w:val="0"/>
                <w:sz w:val="20"/>
                <w:szCs w:val="20"/>
              </w:rPr>
            </w:pPr>
          </w:p>
        </w:tc>
        <w:tc>
          <w:tcPr>
            <w:tcW w:w="2500" w:type="dxa"/>
            <w:tcBorders>
              <w:top w:val="nil"/>
              <w:left w:val="nil"/>
              <w:bottom w:val="nil"/>
              <w:right w:val="single" w:color="auto" w:sz="4" w:space="0"/>
            </w:tcBorders>
            <w:noWrap w:val="0"/>
            <w:vAlign w:val="center"/>
          </w:tcPr>
          <w:p>
            <w:pPr>
              <w:widowControl/>
              <w:jc w:val="left"/>
              <w:rPr>
                <w:rFonts w:ascii="宋体" w:cs="宋体"/>
                <w:kern w:val="0"/>
                <w:sz w:val="20"/>
                <w:szCs w:val="20"/>
              </w:rPr>
            </w:pPr>
            <w:r>
              <w:rPr>
                <w:rFonts w:hint="eastAsia" w:ascii="宋体" w:hAnsi="宋体" w:cs="宋体"/>
                <w:kern w:val="0"/>
                <w:sz w:val="20"/>
                <w:szCs w:val="20"/>
              </w:rPr>
              <w:t>②相关管理制度是否合法、合规、完整；</w:t>
            </w:r>
          </w:p>
        </w:tc>
        <w:tc>
          <w:tcPr>
            <w:tcW w:w="86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cs="宋体"/>
                <w:kern w:val="0"/>
                <w:sz w:val="24"/>
                <w:szCs w:val="24"/>
              </w:rPr>
            </w:pPr>
          </w:p>
        </w:tc>
      </w:tr>
      <w:tr>
        <w:tblPrEx>
          <w:tblCellMar>
            <w:top w:w="0" w:type="dxa"/>
            <w:left w:w="108" w:type="dxa"/>
            <w:bottom w:w="0" w:type="dxa"/>
            <w:right w:w="108" w:type="dxa"/>
          </w:tblCellMar>
        </w:tblPrEx>
        <w:trPr>
          <w:trHeight w:val="499" w:hRule="atLeast"/>
        </w:trPr>
        <w:tc>
          <w:tcPr>
            <w:tcW w:w="62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cs="宋体"/>
                <w:kern w:val="0"/>
                <w:sz w:val="20"/>
                <w:szCs w:val="20"/>
              </w:rPr>
            </w:pPr>
          </w:p>
        </w:tc>
        <w:tc>
          <w:tcPr>
            <w:tcW w:w="62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cs="宋体"/>
                <w:kern w:val="0"/>
                <w:sz w:val="20"/>
                <w:szCs w:val="20"/>
              </w:rPr>
            </w:pPr>
          </w:p>
        </w:tc>
        <w:tc>
          <w:tcPr>
            <w:tcW w:w="88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cs="宋体"/>
                <w:kern w:val="0"/>
                <w:sz w:val="20"/>
                <w:szCs w:val="20"/>
              </w:rPr>
            </w:pPr>
          </w:p>
        </w:tc>
        <w:tc>
          <w:tcPr>
            <w:tcW w:w="42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cs="宋体"/>
                <w:kern w:val="0"/>
                <w:sz w:val="20"/>
                <w:szCs w:val="20"/>
              </w:rPr>
            </w:pPr>
          </w:p>
        </w:tc>
        <w:tc>
          <w:tcPr>
            <w:tcW w:w="3820" w:type="dxa"/>
            <w:vMerge w:val="continue"/>
            <w:tcBorders>
              <w:top w:val="single" w:color="auto" w:sz="4" w:space="0"/>
              <w:left w:val="single" w:color="auto" w:sz="4" w:space="0"/>
              <w:bottom w:val="single" w:color="000000" w:sz="4" w:space="0"/>
              <w:right w:val="single" w:color="auto" w:sz="4" w:space="0"/>
            </w:tcBorders>
            <w:noWrap w:val="0"/>
            <w:vAlign w:val="center"/>
          </w:tcPr>
          <w:p>
            <w:pPr>
              <w:widowControl/>
              <w:jc w:val="left"/>
              <w:rPr>
                <w:rFonts w:ascii="宋体" w:cs="宋体"/>
                <w:kern w:val="0"/>
                <w:sz w:val="20"/>
                <w:szCs w:val="20"/>
              </w:rPr>
            </w:pPr>
          </w:p>
        </w:tc>
        <w:tc>
          <w:tcPr>
            <w:tcW w:w="2500" w:type="dxa"/>
            <w:tcBorders>
              <w:top w:val="nil"/>
              <w:left w:val="nil"/>
              <w:bottom w:val="single" w:color="auto" w:sz="4" w:space="0"/>
              <w:right w:val="single" w:color="auto" w:sz="4" w:space="0"/>
            </w:tcBorders>
            <w:noWrap w:val="0"/>
            <w:vAlign w:val="center"/>
          </w:tcPr>
          <w:p>
            <w:pPr>
              <w:widowControl/>
              <w:jc w:val="left"/>
              <w:rPr>
                <w:rFonts w:ascii="宋体" w:cs="宋体"/>
                <w:kern w:val="0"/>
                <w:sz w:val="20"/>
                <w:szCs w:val="20"/>
              </w:rPr>
            </w:pPr>
            <w:r>
              <w:rPr>
                <w:rFonts w:hint="eastAsia" w:ascii="宋体" w:hAnsi="宋体" w:cs="宋体"/>
                <w:kern w:val="0"/>
                <w:sz w:val="20"/>
                <w:szCs w:val="20"/>
              </w:rPr>
              <w:t>③相关管理制度是否得到有效执行。</w:t>
            </w:r>
            <w:r>
              <w:rPr>
                <w:rFonts w:ascii="宋体" w:cs="宋体"/>
                <w:kern w:val="0"/>
                <w:sz w:val="20"/>
                <w:szCs w:val="20"/>
              </w:rPr>
              <w:br w:type="textWrapping"/>
            </w:r>
            <w:r>
              <w:rPr>
                <w:rFonts w:hint="eastAsia" w:ascii="宋体" w:hAnsi="宋体" w:cs="宋体"/>
                <w:kern w:val="0"/>
                <w:sz w:val="20"/>
                <w:szCs w:val="20"/>
              </w:rPr>
              <w:t>每发现一类不合规问题，扣</w:t>
            </w:r>
            <w:r>
              <w:rPr>
                <w:rFonts w:ascii="宋体" w:hAnsi="宋体" w:cs="宋体"/>
                <w:kern w:val="0"/>
                <w:sz w:val="20"/>
                <w:szCs w:val="20"/>
              </w:rPr>
              <w:t>1</w:t>
            </w:r>
            <w:r>
              <w:rPr>
                <w:rFonts w:hint="eastAsia" w:ascii="宋体" w:hAnsi="宋体" w:cs="宋体"/>
                <w:kern w:val="0"/>
                <w:sz w:val="20"/>
                <w:szCs w:val="20"/>
              </w:rPr>
              <w:t>分，扣完为止。</w:t>
            </w:r>
          </w:p>
        </w:tc>
        <w:tc>
          <w:tcPr>
            <w:tcW w:w="86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cs="宋体"/>
                <w:kern w:val="0"/>
                <w:sz w:val="24"/>
                <w:szCs w:val="24"/>
              </w:rPr>
            </w:pPr>
          </w:p>
        </w:tc>
      </w:tr>
      <w:tr>
        <w:tblPrEx>
          <w:tblCellMar>
            <w:top w:w="0" w:type="dxa"/>
            <w:left w:w="108" w:type="dxa"/>
            <w:bottom w:w="0" w:type="dxa"/>
            <w:right w:w="108" w:type="dxa"/>
          </w:tblCellMar>
        </w:tblPrEx>
        <w:trPr>
          <w:trHeight w:val="499" w:hRule="atLeast"/>
        </w:trPr>
        <w:tc>
          <w:tcPr>
            <w:tcW w:w="62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cs="宋体"/>
                <w:kern w:val="0"/>
                <w:sz w:val="20"/>
                <w:szCs w:val="20"/>
              </w:rPr>
            </w:pPr>
          </w:p>
        </w:tc>
        <w:tc>
          <w:tcPr>
            <w:tcW w:w="62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cs="宋体"/>
                <w:kern w:val="0"/>
                <w:sz w:val="20"/>
                <w:szCs w:val="20"/>
              </w:rPr>
            </w:pPr>
          </w:p>
        </w:tc>
        <w:tc>
          <w:tcPr>
            <w:tcW w:w="880" w:type="dxa"/>
            <w:vMerge w:val="restart"/>
            <w:tcBorders>
              <w:top w:val="nil"/>
              <w:left w:val="single" w:color="auto" w:sz="4" w:space="0"/>
              <w:bottom w:val="single" w:color="000000" w:sz="4" w:space="0"/>
              <w:right w:val="single" w:color="auto" w:sz="4" w:space="0"/>
            </w:tcBorders>
            <w:noWrap w:val="0"/>
            <w:vAlign w:val="center"/>
          </w:tcPr>
          <w:p>
            <w:pPr>
              <w:widowControl/>
              <w:jc w:val="left"/>
              <w:rPr>
                <w:rFonts w:ascii="宋体" w:cs="宋体"/>
                <w:kern w:val="0"/>
                <w:sz w:val="20"/>
                <w:szCs w:val="20"/>
              </w:rPr>
            </w:pPr>
            <w:r>
              <w:rPr>
                <w:rFonts w:hint="eastAsia" w:ascii="宋体" w:hAnsi="宋体" w:cs="宋体"/>
                <w:kern w:val="0"/>
                <w:sz w:val="20"/>
                <w:szCs w:val="20"/>
              </w:rPr>
              <w:t>资金使用合规性</w:t>
            </w:r>
          </w:p>
        </w:tc>
        <w:tc>
          <w:tcPr>
            <w:tcW w:w="420" w:type="dxa"/>
            <w:vMerge w:val="restart"/>
            <w:tcBorders>
              <w:top w:val="nil"/>
              <w:left w:val="single" w:color="auto" w:sz="4" w:space="0"/>
              <w:bottom w:val="single" w:color="000000" w:sz="4" w:space="0"/>
              <w:right w:val="single" w:color="auto" w:sz="4" w:space="0"/>
            </w:tcBorders>
            <w:noWrap w:val="0"/>
            <w:vAlign w:val="center"/>
          </w:tcPr>
          <w:p>
            <w:pPr>
              <w:widowControl/>
              <w:jc w:val="center"/>
              <w:rPr>
                <w:rFonts w:ascii="宋体" w:cs="宋体"/>
                <w:kern w:val="0"/>
                <w:sz w:val="20"/>
                <w:szCs w:val="20"/>
              </w:rPr>
            </w:pPr>
            <w:r>
              <w:rPr>
                <w:rFonts w:ascii="宋体" w:hAnsi="宋体" w:cs="宋体"/>
                <w:kern w:val="0"/>
                <w:sz w:val="20"/>
                <w:szCs w:val="20"/>
              </w:rPr>
              <w:t>5</w:t>
            </w:r>
          </w:p>
        </w:tc>
        <w:tc>
          <w:tcPr>
            <w:tcW w:w="3820" w:type="dxa"/>
            <w:vMerge w:val="restart"/>
            <w:tcBorders>
              <w:top w:val="nil"/>
              <w:left w:val="single" w:color="auto" w:sz="4" w:space="0"/>
              <w:bottom w:val="single" w:color="000000" w:sz="4" w:space="0"/>
              <w:right w:val="single" w:color="auto" w:sz="4" w:space="0"/>
            </w:tcBorders>
            <w:noWrap w:val="0"/>
            <w:vAlign w:val="center"/>
          </w:tcPr>
          <w:p>
            <w:pPr>
              <w:widowControl/>
              <w:jc w:val="left"/>
              <w:rPr>
                <w:rFonts w:ascii="宋体" w:cs="宋体"/>
                <w:kern w:val="0"/>
                <w:sz w:val="20"/>
                <w:szCs w:val="20"/>
              </w:rPr>
            </w:pPr>
            <w:r>
              <w:rPr>
                <w:rFonts w:ascii="宋体" w:hAnsi="宋体" w:cs="宋体"/>
                <w:kern w:val="0"/>
                <w:sz w:val="20"/>
                <w:szCs w:val="20"/>
              </w:rPr>
              <w:t xml:space="preserve">  </w:t>
            </w:r>
            <w:r>
              <w:rPr>
                <w:rFonts w:hint="eastAsia" w:ascii="宋体" w:hAnsi="宋体" w:cs="宋体"/>
                <w:kern w:val="0"/>
                <w:sz w:val="20"/>
                <w:szCs w:val="20"/>
              </w:rPr>
              <w:t>部门使用预算资金是否符合相关的预算财务管理制度的规定，用以反映和考核部门预算资金的规范运行情况。</w:t>
            </w:r>
          </w:p>
        </w:tc>
        <w:tc>
          <w:tcPr>
            <w:tcW w:w="2500" w:type="dxa"/>
            <w:tcBorders>
              <w:top w:val="nil"/>
              <w:left w:val="nil"/>
              <w:bottom w:val="nil"/>
              <w:right w:val="single" w:color="auto" w:sz="4" w:space="0"/>
            </w:tcBorders>
            <w:noWrap w:val="0"/>
            <w:vAlign w:val="center"/>
          </w:tcPr>
          <w:p>
            <w:pPr>
              <w:widowControl/>
              <w:jc w:val="left"/>
              <w:rPr>
                <w:rFonts w:ascii="宋体" w:cs="宋体"/>
                <w:kern w:val="0"/>
                <w:sz w:val="20"/>
                <w:szCs w:val="20"/>
              </w:rPr>
            </w:pPr>
            <w:r>
              <w:rPr>
                <w:rFonts w:hint="eastAsia" w:ascii="宋体" w:hAnsi="宋体" w:cs="宋体"/>
                <w:kern w:val="0"/>
                <w:sz w:val="20"/>
                <w:szCs w:val="20"/>
              </w:rPr>
              <w:t>①是否符合国家财经法规和财务管理制度规定以及有关预算支出管理办法的规定；</w:t>
            </w:r>
          </w:p>
        </w:tc>
        <w:tc>
          <w:tcPr>
            <w:tcW w:w="860" w:type="dxa"/>
            <w:vMerge w:val="restart"/>
            <w:tcBorders>
              <w:top w:val="nil"/>
              <w:left w:val="single" w:color="auto" w:sz="4" w:space="0"/>
              <w:bottom w:val="single" w:color="000000" w:sz="4" w:space="0"/>
              <w:right w:val="single" w:color="auto" w:sz="4" w:space="0"/>
            </w:tcBorders>
            <w:noWrap w:val="0"/>
            <w:vAlign w:val="center"/>
          </w:tcPr>
          <w:p>
            <w:pPr>
              <w:widowControl/>
              <w:jc w:val="center"/>
              <w:rPr>
                <w:rFonts w:ascii="宋体" w:cs="宋体"/>
                <w:kern w:val="0"/>
                <w:sz w:val="24"/>
                <w:szCs w:val="24"/>
              </w:rPr>
            </w:pPr>
            <w:r>
              <w:rPr>
                <w:rFonts w:ascii="宋体" w:hAnsi="宋体" w:cs="宋体"/>
                <w:kern w:val="0"/>
                <w:sz w:val="24"/>
                <w:szCs w:val="24"/>
              </w:rPr>
              <w:t>5</w:t>
            </w:r>
          </w:p>
        </w:tc>
      </w:tr>
      <w:tr>
        <w:trPr>
          <w:trHeight w:val="705" w:hRule="atLeast"/>
        </w:trPr>
        <w:tc>
          <w:tcPr>
            <w:tcW w:w="62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cs="宋体"/>
                <w:kern w:val="0"/>
                <w:sz w:val="20"/>
                <w:szCs w:val="20"/>
              </w:rPr>
            </w:pPr>
          </w:p>
        </w:tc>
        <w:tc>
          <w:tcPr>
            <w:tcW w:w="62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cs="宋体"/>
                <w:kern w:val="0"/>
                <w:sz w:val="20"/>
                <w:szCs w:val="20"/>
              </w:rPr>
            </w:pPr>
          </w:p>
        </w:tc>
        <w:tc>
          <w:tcPr>
            <w:tcW w:w="88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cs="宋体"/>
                <w:kern w:val="0"/>
                <w:sz w:val="20"/>
                <w:szCs w:val="20"/>
              </w:rPr>
            </w:pPr>
          </w:p>
        </w:tc>
        <w:tc>
          <w:tcPr>
            <w:tcW w:w="42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cs="宋体"/>
                <w:kern w:val="0"/>
                <w:sz w:val="20"/>
                <w:szCs w:val="20"/>
              </w:rPr>
            </w:pPr>
          </w:p>
        </w:tc>
        <w:tc>
          <w:tcPr>
            <w:tcW w:w="382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cs="宋体"/>
                <w:kern w:val="0"/>
                <w:sz w:val="20"/>
                <w:szCs w:val="20"/>
              </w:rPr>
            </w:pPr>
          </w:p>
        </w:tc>
        <w:tc>
          <w:tcPr>
            <w:tcW w:w="2500" w:type="dxa"/>
            <w:tcBorders>
              <w:top w:val="nil"/>
              <w:left w:val="nil"/>
              <w:bottom w:val="nil"/>
              <w:right w:val="single" w:color="auto" w:sz="4" w:space="0"/>
            </w:tcBorders>
            <w:noWrap w:val="0"/>
            <w:vAlign w:val="center"/>
          </w:tcPr>
          <w:p>
            <w:pPr>
              <w:widowControl/>
              <w:jc w:val="left"/>
              <w:rPr>
                <w:rFonts w:ascii="宋体" w:cs="宋体"/>
                <w:kern w:val="0"/>
                <w:sz w:val="20"/>
                <w:szCs w:val="20"/>
              </w:rPr>
            </w:pPr>
            <w:r>
              <w:rPr>
                <w:rFonts w:hint="eastAsia" w:ascii="宋体" w:hAnsi="宋体" w:cs="宋体"/>
                <w:kern w:val="0"/>
                <w:sz w:val="20"/>
                <w:szCs w:val="20"/>
              </w:rPr>
              <w:t>②资金的拨付是否有完整的审批程序和手续；</w:t>
            </w:r>
            <w:r>
              <w:rPr>
                <w:rFonts w:ascii="宋体" w:hAnsi="宋体" w:cs="宋体"/>
                <w:kern w:val="0"/>
                <w:sz w:val="20"/>
                <w:szCs w:val="20"/>
              </w:rPr>
              <w:t xml:space="preserve">        </w:t>
            </w:r>
          </w:p>
        </w:tc>
        <w:tc>
          <w:tcPr>
            <w:tcW w:w="86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cs="宋体"/>
                <w:kern w:val="0"/>
                <w:sz w:val="24"/>
                <w:szCs w:val="24"/>
              </w:rPr>
            </w:pPr>
          </w:p>
        </w:tc>
      </w:tr>
      <w:tr>
        <w:tblPrEx>
          <w:tblCellMar>
            <w:top w:w="0" w:type="dxa"/>
            <w:left w:w="108" w:type="dxa"/>
            <w:bottom w:w="0" w:type="dxa"/>
            <w:right w:w="108" w:type="dxa"/>
          </w:tblCellMar>
        </w:tblPrEx>
        <w:trPr>
          <w:trHeight w:val="855" w:hRule="atLeast"/>
        </w:trPr>
        <w:tc>
          <w:tcPr>
            <w:tcW w:w="62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cs="宋体"/>
                <w:kern w:val="0"/>
                <w:sz w:val="20"/>
                <w:szCs w:val="20"/>
              </w:rPr>
            </w:pPr>
          </w:p>
        </w:tc>
        <w:tc>
          <w:tcPr>
            <w:tcW w:w="62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cs="宋体"/>
                <w:kern w:val="0"/>
                <w:sz w:val="20"/>
                <w:szCs w:val="20"/>
              </w:rPr>
            </w:pPr>
          </w:p>
        </w:tc>
        <w:tc>
          <w:tcPr>
            <w:tcW w:w="88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cs="宋体"/>
                <w:kern w:val="0"/>
                <w:sz w:val="20"/>
                <w:szCs w:val="20"/>
              </w:rPr>
            </w:pPr>
          </w:p>
        </w:tc>
        <w:tc>
          <w:tcPr>
            <w:tcW w:w="42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cs="宋体"/>
                <w:kern w:val="0"/>
                <w:sz w:val="20"/>
                <w:szCs w:val="20"/>
              </w:rPr>
            </w:pPr>
          </w:p>
        </w:tc>
        <w:tc>
          <w:tcPr>
            <w:tcW w:w="382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cs="宋体"/>
                <w:kern w:val="0"/>
                <w:sz w:val="20"/>
                <w:szCs w:val="20"/>
              </w:rPr>
            </w:pPr>
          </w:p>
        </w:tc>
        <w:tc>
          <w:tcPr>
            <w:tcW w:w="2500" w:type="dxa"/>
            <w:tcBorders>
              <w:top w:val="nil"/>
              <w:left w:val="nil"/>
              <w:bottom w:val="nil"/>
              <w:right w:val="single" w:color="auto" w:sz="4" w:space="0"/>
            </w:tcBorders>
            <w:noWrap w:val="0"/>
            <w:vAlign w:val="center"/>
          </w:tcPr>
          <w:p>
            <w:pPr>
              <w:widowControl/>
              <w:jc w:val="left"/>
              <w:rPr>
                <w:rFonts w:ascii="宋体" w:cs="宋体"/>
                <w:kern w:val="0"/>
                <w:sz w:val="20"/>
                <w:szCs w:val="20"/>
              </w:rPr>
            </w:pPr>
            <w:r>
              <w:rPr>
                <w:rFonts w:hint="eastAsia" w:ascii="宋体" w:hAnsi="宋体" w:cs="宋体"/>
                <w:kern w:val="0"/>
                <w:sz w:val="20"/>
                <w:szCs w:val="20"/>
              </w:rPr>
              <w:t>③预算支出的重大开支是否经过评估论证；</w:t>
            </w:r>
          </w:p>
        </w:tc>
        <w:tc>
          <w:tcPr>
            <w:tcW w:w="86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cs="宋体"/>
                <w:kern w:val="0"/>
                <w:sz w:val="24"/>
                <w:szCs w:val="24"/>
              </w:rPr>
            </w:pPr>
          </w:p>
        </w:tc>
      </w:tr>
      <w:tr>
        <w:tblPrEx>
          <w:tblCellMar>
            <w:top w:w="0" w:type="dxa"/>
            <w:left w:w="108" w:type="dxa"/>
            <w:bottom w:w="0" w:type="dxa"/>
            <w:right w:w="108" w:type="dxa"/>
          </w:tblCellMar>
        </w:tblPrEx>
        <w:trPr>
          <w:trHeight w:val="499" w:hRule="atLeast"/>
        </w:trPr>
        <w:tc>
          <w:tcPr>
            <w:tcW w:w="62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cs="宋体"/>
                <w:kern w:val="0"/>
                <w:sz w:val="20"/>
                <w:szCs w:val="20"/>
              </w:rPr>
            </w:pPr>
          </w:p>
        </w:tc>
        <w:tc>
          <w:tcPr>
            <w:tcW w:w="62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cs="宋体"/>
                <w:kern w:val="0"/>
                <w:sz w:val="20"/>
                <w:szCs w:val="20"/>
              </w:rPr>
            </w:pPr>
          </w:p>
        </w:tc>
        <w:tc>
          <w:tcPr>
            <w:tcW w:w="88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cs="宋体"/>
                <w:kern w:val="0"/>
                <w:sz w:val="20"/>
                <w:szCs w:val="20"/>
              </w:rPr>
            </w:pPr>
          </w:p>
        </w:tc>
        <w:tc>
          <w:tcPr>
            <w:tcW w:w="42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cs="宋体"/>
                <w:kern w:val="0"/>
                <w:sz w:val="20"/>
                <w:szCs w:val="20"/>
              </w:rPr>
            </w:pPr>
          </w:p>
        </w:tc>
        <w:tc>
          <w:tcPr>
            <w:tcW w:w="382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cs="宋体"/>
                <w:kern w:val="0"/>
                <w:sz w:val="20"/>
                <w:szCs w:val="20"/>
              </w:rPr>
            </w:pPr>
          </w:p>
        </w:tc>
        <w:tc>
          <w:tcPr>
            <w:tcW w:w="2500" w:type="dxa"/>
            <w:tcBorders>
              <w:top w:val="nil"/>
              <w:left w:val="nil"/>
              <w:bottom w:val="nil"/>
              <w:right w:val="single" w:color="auto" w:sz="4" w:space="0"/>
            </w:tcBorders>
            <w:noWrap w:val="0"/>
            <w:vAlign w:val="center"/>
          </w:tcPr>
          <w:p>
            <w:pPr>
              <w:widowControl/>
              <w:jc w:val="left"/>
              <w:rPr>
                <w:rFonts w:ascii="宋体" w:cs="宋体"/>
                <w:kern w:val="0"/>
                <w:sz w:val="20"/>
                <w:szCs w:val="20"/>
              </w:rPr>
            </w:pPr>
            <w:r>
              <w:rPr>
                <w:rFonts w:hint="eastAsia" w:ascii="宋体" w:hAnsi="宋体" w:cs="宋体"/>
                <w:kern w:val="0"/>
                <w:sz w:val="20"/>
                <w:szCs w:val="20"/>
              </w:rPr>
              <w:t>④是否符合部门预算批复的用途；</w:t>
            </w:r>
            <w:r>
              <w:rPr>
                <w:rFonts w:ascii="宋体" w:hAnsi="宋体" w:cs="宋体"/>
                <w:kern w:val="0"/>
                <w:sz w:val="20"/>
                <w:szCs w:val="20"/>
              </w:rPr>
              <w:t xml:space="preserve">   </w:t>
            </w:r>
          </w:p>
        </w:tc>
        <w:tc>
          <w:tcPr>
            <w:tcW w:w="86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cs="宋体"/>
                <w:kern w:val="0"/>
                <w:sz w:val="24"/>
                <w:szCs w:val="24"/>
              </w:rPr>
            </w:pPr>
          </w:p>
        </w:tc>
      </w:tr>
      <w:tr>
        <w:tblPrEx>
          <w:tblCellMar>
            <w:top w:w="0" w:type="dxa"/>
            <w:left w:w="108" w:type="dxa"/>
            <w:bottom w:w="0" w:type="dxa"/>
            <w:right w:w="108" w:type="dxa"/>
          </w:tblCellMar>
        </w:tblPrEx>
        <w:trPr>
          <w:trHeight w:val="499" w:hRule="atLeast"/>
        </w:trPr>
        <w:tc>
          <w:tcPr>
            <w:tcW w:w="62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cs="宋体"/>
                <w:kern w:val="0"/>
                <w:sz w:val="20"/>
                <w:szCs w:val="20"/>
              </w:rPr>
            </w:pPr>
          </w:p>
        </w:tc>
        <w:tc>
          <w:tcPr>
            <w:tcW w:w="62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cs="宋体"/>
                <w:kern w:val="0"/>
                <w:sz w:val="20"/>
                <w:szCs w:val="20"/>
              </w:rPr>
            </w:pPr>
          </w:p>
        </w:tc>
        <w:tc>
          <w:tcPr>
            <w:tcW w:w="88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cs="宋体"/>
                <w:kern w:val="0"/>
                <w:sz w:val="20"/>
                <w:szCs w:val="20"/>
              </w:rPr>
            </w:pPr>
          </w:p>
        </w:tc>
        <w:tc>
          <w:tcPr>
            <w:tcW w:w="42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cs="宋体"/>
                <w:kern w:val="0"/>
                <w:sz w:val="20"/>
                <w:szCs w:val="20"/>
              </w:rPr>
            </w:pPr>
          </w:p>
        </w:tc>
        <w:tc>
          <w:tcPr>
            <w:tcW w:w="382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cs="宋体"/>
                <w:kern w:val="0"/>
                <w:sz w:val="20"/>
                <w:szCs w:val="20"/>
              </w:rPr>
            </w:pPr>
          </w:p>
        </w:tc>
        <w:tc>
          <w:tcPr>
            <w:tcW w:w="2500" w:type="dxa"/>
            <w:tcBorders>
              <w:top w:val="nil"/>
              <w:left w:val="nil"/>
              <w:bottom w:val="nil"/>
              <w:right w:val="single" w:color="auto" w:sz="4" w:space="0"/>
            </w:tcBorders>
            <w:noWrap w:val="0"/>
            <w:vAlign w:val="center"/>
          </w:tcPr>
          <w:p>
            <w:pPr>
              <w:widowControl/>
              <w:jc w:val="left"/>
              <w:rPr>
                <w:rFonts w:ascii="宋体" w:cs="宋体"/>
                <w:kern w:val="0"/>
                <w:sz w:val="20"/>
                <w:szCs w:val="20"/>
              </w:rPr>
            </w:pPr>
            <w:r>
              <w:rPr>
                <w:rFonts w:hint="eastAsia" w:ascii="宋体" w:hAnsi="宋体" w:cs="宋体"/>
                <w:kern w:val="0"/>
                <w:sz w:val="20"/>
                <w:szCs w:val="20"/>
              </w:rPr>
              <w:t>⑤是否存在截留、挤占、挪用、虚列支出等情况。</w:t>
            </w:r>
          </w:p>
        </w:tc>
        <w:tc>
          <w:tcPr>
            <w:tcW w:w="86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cs="宋体"/>
                <w:kern w:val="0"/>
                <w:sz w:val="24"/>
                <w:szCs w:val="24"/>
              </w:rPr>
            </w:pPr>
          </w:p>
        </w:tc>
      </w:tr>
      <w:tr>
        <w:trPr>
          <w:trHeight w:val="379" w:hRule="atLeast"/>
        </w:trPr>
        <w:tc>
          <w:tcPr>
            <w:tcW w:w="62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cs="宋体"/>
                <w:kern w:val="0"/>
                <w:sz w:val="20"/>
                <w:szCs w:val="20"/>
              </w:rPr>
            </w:pPr>
          </w:p>
        </w:tc>
        <w:tc>
          <w:tcPr>
            <w:tcW w:w="62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cs="宋体"/>
                <w:kern w:val="0"/>
                <w:sz w:val="20"/>
                <w:szCs w:val="20"/>
              </w:rPr>
            </w:pPr>
          </w:p>
        </w:tc>
        <w:tc>
          <w:tcPr>
            <w:tcW w:w="88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cs="宋体"/>
                <w:kern w:val="0"/>
                <w:sz w:val="20"/>
                <w:szCs w:val="20"/>
              </w:rPr>
            </w:pPr>
          </w:p>
        </w:tc>
        <w:tc>
          <w:tcPr>
            <w:tcW w:w="42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cs="宋体"/>
                <w:kern w:val="0"/>
                <w:sz w:val="20"/>
                <w:szCs w:val="20"/>
              </w:rPr>
            </w:pPr>
          </w:p>
        </w:tc>
        <w:tc>
          <w:tcPr>
            <w:tcW w:w="382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cs="宋体"/>
                <w:kern w:val="0"/>
                <w:sz w:val="20"/>
                <w:szCs w:val="20"/>
              </w:rPr>
            </w:pPr>
          </w:p>
        </w:tc>
        <w:tc>
          <w:tcPr>
            <w:tcW w:w="2500" w:type="dxa"/>
            <w:tcBorders>
              <w:top w:val="nil"/>
              <w:left w:val="nil"/>
              <w:bottom w:val="single" w:color="auto" w:sz="4" w:space="0"/>
              <w:right w:val="single" w:color="auto" w:sz="4" w:space="0"/>
            </w:tcBorders>
            <w:noWrap w:val="0"/>
            <w:vAlign w:val="center"/>
          </w:tcPr>
          <w:p>
            <w:pPr>
              <w:widowControl/>
              <w:jc w:val="left"/>
              <w:rPr>
                <w:rFonts w:ascii="宋体" w:cs="宋体"/>
                <w:kern w:val="0"/>
                <w:sz w:val="20"/>
                <w:szCs w:val="20"/>
              </w:rPr>
            </w:pPr>
            <w:r>
              <w:rPr>
                <w:rFonts w:hint="eastAsia" w:ascii="宋体" w:hAnsi="宋体" w:cs="宋体"/>
                <w:kern w:val="0"/>
                <w:sz w:val="20"/>
                <w:szCs w:val="20"/>
              </w:rPr>
              <w:t>每发现一类不合规问题，扣</w:t>
            </w:r>
            <w:r>
              <w:rPr>
                <w:rFonts w:ascii="宋体" w:hAnsi="宋体" w:cs="宋体"/>
                <w:kern w:val="0"/>
                <w:sz w:val="20"/>
                <w:szCs w:val="20"/>
              </w:rPr>
              <w:t>2</w:t>
            </w:r>
            <w:r>
              <w:rPr>
                <w:rFonts w:hint="eastAsia" w:ascii="宋体" w:hAnsi="宋体" w:cs="宋体"/>
                <w:kern w:val="0"/>
                <w:sz w:val="20"/>
                <w:szCs w:val="20"/>
              </w:rPr>
              <w:t>分，扣完为止。</w:t>
            </w:r>
          </w:p>
        </w:tc>
        <w:tc>
          <w:tcPr>
            <w:tcW w:w="86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cs="宋体"/>
                <w:kern w:val="0"/>
                <w:sz w:val="24"/>
                <w:szCs w:val="24"/>
              </w:rPr>
            </w:pPr>
          </w:p>
        </w:tc>
      </w:tr>
      <w:tr>
        <w:tblPrEx>
          <w:tblCellMar>
            <w:top w:w="0" w:type="dxa"/>
            <w:left w:w="108" w:type="dxa"/>
            <w:bottom w:w="0" w:type="dxa"/>
            <w:right w:w="108" w:type="dxa"/>
          </w:tblCellMar>
        </w:tblPrEx>
        <w:trPr>
          <w:trHeight w:val="750" w:hRule="atLeast"/>
        </w:trPr>
        <w:tc>
          <w:tcPr>
            <w:tcW w:w="62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cs="宋体"/>
                <w:kern w:val="0"/>
                <w:sz w:val="20"/>
                <w:szCs w:val="20"/>
              </w:rPr>
            </w:pPr>
          </w:p>
        </w:tc>
        <w:tc>
          <w:tcPr>
            <w:tcW w:w="62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cs="宋体"/>
                <w:kern w:val="0"/>
                <w:sz w:val="20"/>
                <w:szCs w:val="20"/>
              </w:rPr>
            </w:pPr>
          </w:p>
        </w:tc>
        <w:tc>
          <w:tcPr>
            <w:tcW w:w="880" w:type="dxa"/>
            <w:vMerge w:val="restart"/>
            <w:tcBorders>
              <w:top w:val="nil"/>
              <w:left w:val="single" w:color="auto" w:sz="4" w:space="0"/>
              <w:bottom w:val="single" w:color="auto" w:sz="4" w:space="0"/>
              <w:right w:val="single" w:color="auto" w:sz="4" w:space="0"/>
            </w:tcBorders>
            <w:noWrap w:val="0"/>
            <w:vAlign w:val="center"/>
          </w:tcPr>
          <w:p>
            <w:pPr>
              <w:widowControl/>
              <w:jc w:val="left"/>
              <w:rPr>
                <w:rFonts w:ascii="宋体" w:cs="宋体"/>
                <w:kern w:val="0"/>
                <w:sz w:val="20"/>
                <w:szCs w:val="20"/>
              </w:rPr>
            </w:pPr>
            <w:r>
              <w:rPr>
                <w:rFonts w:hint="eastAsia" w:ascii="宋体" w:hAnsi="宋体" w:cs="宋体"/>
                <w:kern w:val="0"/>
                <w:sz w:val="20"/>
                <w:szCs w:val="20"/>
              </w:rPr>
              <w:t>预决算信息公开性</w:t>
            </w:r>
          </w:p>
        </w:tc>
        <w:tc>
          <w:tcPr>
            <w:tcW w:w="420"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ascii="宋体" w:cs="宋体"/>
                <w:kern w:val="0"/>
                <w:sz w:val="20"/>
                <w:szCs w:val="20"/>
              </w:rPr>
            </w:pPr>
            <w:r>
              <w:rPr>
                <w:rFonts w:ascii="宋体" w:hAnsi="宋体" w:cs="宋体"/>
                <w:kern w:val="0"/>
                <w:sz w:val="20"/>
                <w:szCs w:val="20"/>
              </w:rPr>
              <w:t>1</w:t>
            </w:r>
          </w:p>
        </w:tc>
        <w:tc>
          <w:tcPr>
            <w:tcW w:w="3820" w:type="dxa"/>
            <w:vMerge w:val="restart"/>
            <w:tcBorders>
              <w:top w:val="nil"/>
              <w:left w:val="single" w:color="auto" w:sz="4" w:space="0"/>
              <w:bottom w:val="single" w:color="000000" w:sz="4" w:space="0"/>
              <w:right w:val="single" w:color="auto" w:sz="4" w:space="0"/>
            </w:tcBorders>
            <w:noWrap w:val="0"/>
            <w:vAlign w:val="center"/>
          </w:tcPr>
          <w:p>
            <w:pPr>
              <w:widowControl/>
              <w:jc w:val="left"/>
              <w:rPr>
                <w:rFonts w:ascii="宋体" w:cs="宋体"/>
                <w:kern w:val="0"/>
                <w:sz w:val="20"/>
                <w:szCs w:val="20"/>
              </w:rPr>
            </w:pPr>
            <w:r>
              <w:rPr>
                <w:rFonts w:ascii="宋体" w:hAnsi="宋体" w:cs="宋体"/>
                <w:kern w:val="0"/>
                <w:sz w:val="20"/>
                <w:szCs w:val="20"/>
              </w:rPr>
              <w:t xml:space="preserve">  </w:t>
            </w:r>
            <w:r>
              <w:rPr>
                <w:rFonts w:hint="eastAsia" w:ascii="宋体" w:hAnsi="宋体" w:cs="宋体"/>
                <w:kern w:val="0"/>
                <w:sz w:val="20"/>
                <w:szCs w:val="20"/>
              </w:rPr>
              <w:t>部门是否按政府信息公开有关规定公开预决算信息，用以反映和考核部门预决算管理的公开透明情况。</w:t>
            </w:r>
            <w:r>
              <w:rPr>
                <w:rFonts w:ascii="宋体" w:hAnsi="宋体" w:cs="宋体"/>
                <w:kern w:val="0"/>
                <w:sz w:val="20"/>
                <w:szCs w:val="20"/>
              </w:rPr>
              <w:t xml:space="preserve">                          </w:t>
            </w:r>
            <w:r>
              <w:rPr>
                <w:rFonts w:ascii="宋体" w:hAnsi="宋体" w:cs="宋体"/>
                <w:kern w:val="0"/>
                <w:sz w:val="20"/>
                <w:szCs w:val="20"/>
              </w:rPr>
              <w:br w:type="textWrapping"/>
            </w:r>
            <w:r>
              <w:rPr>
                <w:rFonts w:ascii="宋体" w:hAnsi="宋体" w:cs="宋体"/>
                <w:kern w:val="0"/>
                <w:sz w:val="20"/>
                <w:szCs w:val="20"/>
              </w:rPr>
              <w:t xml:space="preserve">  </w:t>
            </w:r>
            <w:r>
              <w:rPr>
                <w:rFonts w:hint="eastAsia" w:ascii="宋体" w:hAnsi="宋体" w:cs="宋体"/>
                <w:kern w:val="0"/>
                <w:sz w:val="20"/>
                <w:szCs w:val="20"/>
              </w:rPr>
              <w:t>预决算信息是指与部门预算、执行、决算、监督、绩效等管理相关的信息。</w:t>
            </w:r>
          </w:p>
        </w:tc>
        <w:tc>
          <w:tcPr>
            <w:tcW w:w="2500" w:type="dxa"/>
            <w:tcBorders>
              <w:top w:val="nil"/>
              <w:left w:val="nil"/>
              <w:bottom w:val="nil"/>
              <w:right w:val="nil"/>
            </w:tcBorders>
            <w:noWrap w:val="0"/>
            <w:vAlign w:val="center"/>
          </w:tcPr>
          <w:p>
            <w:pPr>
              <w:widowControl/>
              <w:jc w:val="left"/>
              <w:rPr>
                <w:rFonts w:ascii="宋体" w:cs="宋体"/>
                <w:kern w:val="0"/>
                <w:sz w:val="20"/>
                <w:szCs w:val="20"/>
              </w:rPr>
            </w:pPr>
            <w:r>
              <w:rPr>
                <w:rFonts w:hint="eastAsia" w:ascii="宋体" w:hAnsi="宋体" w:cs="宋体"/>
                <w:kern w:val="0"/>
                <w:sz w:val="20"/>
                <w:szCs w:val="20"/>
              </w:rPr>
              <w:t>①是否按规定内容公开预决算信息；</w:t>
            </w:r>
            <w:r>
              <w:rPr>
                <w:rFonts w:ascii="宋体" w:hAnsi="宋体" w:cs="宋体"/>
                <w:kern w:val="0"/>
                <w:sz w:val="20"/>
                <w:szCs w:val="20"/>
              </w:rPr>
              <w:t xml:space="preserve">                  </w:t>
            </w:r>
          </w:p>
        </w:tc>
        <w:tc>
          <w:tcPr>
            <w:tcW w:w="860"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ascii="宋体" w:cs="宋体"/>
                <w:kern w:val="0"/>
                <w:sz w:val="24"/>
                <w:szCs w:val="24"/>
              </w:rPr>
            </w:pPr>
            <w:r>
              <w:rPr>
                <w:rFonts w:ascii="宋体" w:hAnsi="宋体" w:cs="宋体"/>
                <w:kern w:val="0"/>
                <w:sz w:val="24"/>
                <w:szCs w:val="24"/>
              </w:rPr>
              <w:t>1</w:t>
            </w:r>
          </w:p>
        </w:tc>
      </w:tr>
      <w:tr>
        <w:tblPrEx>
          <w:tblCellMar>
            <w:top w:w="0" w:type="dxa"/>
            <w:left w:w="108" w:type="dxa"/>
            <w:bottom w:w="0" w:type="dxa"/>
            <w:right w:w="108" w:type="dxa"/>
          </w:tblCellMar>
        </w:tblPrEx>
        <w:trPr>
          <w:trHeight w:val="660" w:hRule="atLeast"/>
        </w:trPr>
        <w:tc>
          <w:tcPr>
            <w:tcW w:w="62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cs="宋体"/>
                <w:kern w:val="0"/>
                <w:sz w:val="20"/>
                <w:szCs w:val="20"/>
              </w:rPr>
            </w:pPr>
          </w:p>
        </w:tc>
        <w:tc>
          <w:tcPr>
            <w:tcW w:w="62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cs="宋体"/>
                <w:kern w:val="0"/>
                <w:sz w:val="20"/>
                <w:szCs w:val="20"/>
              </w:rPr>
            </w:pPr>
          </w:p>
        </w:tc>
        <w:tc>
          <w:tcPr>
            <w:tcW w:w="88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cs="宋体"/>
                <w:kern w:val="0"/>
                <w:sz w:val="20"/>
                <w:szCs w:val="20"/>
              </w:rPr>
            </w:pPr>
          </w:p>
        </w:tc>
        <w:tc>
          <w:tcPr>
            <w:tcW w:w="42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cs="宋体"/>
                <w:kern w:val="0"/>
                <w:sz w:val="20"/>
                <w:szCs w:val="20"/>
              </w:rPr>
            </w:pPr>
          </w:p>
        </w:tc>
        <w:tc>
          <w:tcPr>
            <w:tcW w:w="382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cs="宋体"/>
                <w:kern w:val="0"/>
                <w:sz w:val="20"/>
                <w:szCs w:val="20"/>
              </w:rPr>
            </w:pPr>
          </w:p>
        </w:tc>
        <w:tc>
          <w:tcPr>
            <w:tcW w:w="2500" w:type="dxa"/>
            <w:tcBorders>
              <w:top w:val="nil"/>
              <w:left w:val="nil"/>
              <w:bottom w:val="nil"/>
              <w:right w:val="nil"/>
            </w:tcBorders>
            <w:noWrap w:val="0"/>
            <w:vAlign w:val="center"/>
          </w:tcPr>
          <w:p>
            <w:pPr>
              <w:widowControl/>
              <w:jc w:val="left"/>
              <w:rPr>
                <w:rFonts w:ascii="宋体" w:cs="宋体"/>
                <w:kern w:val="0"/>
                <w:sz w:val="20"/>
                <w:szCs w:val="20"/>
              </w:rPr>
            </w:pPr>
            <w:r>
              <w:rPr>
                <w:rFonts w:hint="eastAsia" w:ascii="宋体" w:hAnsi="宋体" w:cs="宋体"/>
                <w:kern w:val="0"/>
                <w:sz w:val="20"/>
                <w:szCs w:val="20"/>
              </w:rPr>
              <w:t>②是否按规定时限公开预决算信息。</w:t>
            </w:r>
            <w:r>
              <w:rPr>
                <w:rFonts w:ascii="宋体" w:hAnsi="宋体" w:cs="宋体"/>
                <w:kern w:val="0"/>
                <w:sz w:val="20"/>
                <w:szCs w:val="20"/>
              </w:rPr>
              <w:t xml:space="preserve">   </w:t>
            </w:r>
          </w:p>
        </w:tc>
        <w:tc>
          <w:tcPr>
            <w:tcW w:w="86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cs="宋体"/>
                <w:kern w:val="0"/>
                <w:sz w:val="24"/>
                <w:szCs w:val="24"/>
              </w:rPr>
            </w:pPr>
          </w:p>
        </w:tc>
      </w:tr>
      <w:tr>
        <w:tblPrEx>
          <w:tblCellMar>
            <w:top w:w="0" w:type="dxa"/>
            <w:left w:w="108" w:type="dxa"/>
            <w:bottom w:w="0" w:type="dxa"/>
            <w:right w:w="108" w:type="dxa"/>
          </w:tblCellMar>
        </w:tblPrEx>
        <w:trPr>
          <w:trHeight w:val="780" w:hRule="atLeast"/>
        </w:trPr>
        <w:tc>
          <w:tcPr>
            <w:tcW w:w="62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cs="宋体"/>
                <w:kern w:val="0"/>
                <w:sz w:val="20"/>
                <w:szCs w:val="20"/>
              </w:rPr>
            </w:pPr>
          </w:p>
        </w:tc>
        <w:tc>
          <w:tcPr>
            <w:tcW w:w="62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cs="宋体"/>
                <w:kern w:val="0"/>
                <w:sz w:val="20"/>
                <w:szCs w:val="20"/>
              </w:rPr>
            </w:pPr>
          </w:p>
        </w:tc>
        <w:tc>
          <w:tcPr>
            <w:tcW w:w="88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cs="宋体"/>
                <w:kern w:val="0"/>
                <w:sz w:val="20"/>
                <w:szCs w:val="20"/>
              </w:rPr>
            </w:pPr>
          </w:p>
        </w:tc>
        <w:tc>
          <w:tcPr>
            <w:tcW w:w="42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cs="宋体"/>
                <w:kern w:val="0"/>
                <w:sz w:val="20"/>
                <w:szCs w:val="20"/>
              </w:rPr>
            </w:pPr>
          </w:p>
        </w:tc>
        <w:tc>
          <w:tcPr>
            <w:tcW w:w="382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cs="宋体"/>
                <w:kern w:val="0"/>
                <w:sz w:val="20"/>
                <w:szCs w:val="20"/>
              </w:rPr>
            </w:pPr>
          </w:p>
        </w:tc>
        <w:tc>
          <w:tcPr>
            <w:tcW w:w="2500" w:type="dxa"/>
            <w:tcBorders>
              <w:top w:val="nil"/>
              <w:left w:val="nil"/>
              <w:bottom w:val="single" w:color="auto" w:sz="4" w:space="0"/>
              <w:right w:val="nil"/>
            </w:tcBorders>
            <w:noWrap w:val="0"/>
            <w:vAlign w:val="center"/>
          </w:tcPr>
          <w:p>
            <w:pPr>
              <w:widowControl/>
              <w:jc w:val="left"/>
              <w:rPr>
                <w:rFonts w:ascii="宋体" w:cs="宋体"/>
                <w:kern w:val="0"/>
                <w:sz w:val="20"/>
                <w:szCs w:val="20"/>
              </w:rPr>
            </w:pPr>
            <w:r>
              <w:rPr>
                <w:rFonts w:hint="eastAsia" w:ascii="宋体" w:hAnsi="宋体" w:cs="宋体"/>
                <w:kern w:val="0"/>
                <w:sz w:val="20"/>
                <w:szCs w:val="20"/>
              </w:rPr>
              <w:t>每发现一类不合规问题，扣</w:t>
            </w:r>
            <w:r>
              <w:rPr>
                <w:rFonts w:ascii="宋体" w:hAnsi="宋体" w:cs="宋体"/>
                <w:kern w:val="0"/>
                <w:sz w:val="20"/>
                <w:szCs w:val="20"/>
              </w:rPr>
              <w:t>0.5</w:t>
            </w:r>
            <w:r>
              <w:rPr>
                <w:rFonts w:hint="eastAsia" w:ascii="宋体" w:hAnsi="宋体" w:cs="宋体"/>
                <w:kern w:val="0"/>
                <w:sz w:val="20"/>
                <w:szCs w:val="20"/>
              </w:rPr>
              <w:t>分，扣完为止。</w:t>
            </w:r>
          </w:p>
        </w:tc>
        <w:tc>
          <w:tcPr>
            <w:tcW w:w="86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cs="宋体"/>
                <w:kern w:val="0"/>
                <w:sz w:val="24"/>
                <w:szCs w:val="24"/>
              </w:rPr>
            </w:pPr>
          </w:p>
        </w:tc>
      </w:tr>
      <w:tr>
        <w:trPr>
          <w:trHeight w:val="810" w:hRule="atLeast"/>
        </w:trPr>
        <w:tc>
          <w:tcPr>
            <w:tcW w:w="62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cs="宋体"/>
                <w:kern w:val="0"/>
                <w:sz w:val="20"/>
                <w:szCs w:val="20"/>
              </w:rPr>
            </w:pPr>
          </w:p>
        </w:tc>
        <w:tc>
          <w:tcPr>
            <w:tcW w:w="62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cs="宋体"/>
                <w:kern w:val="0"/>
                <w:sz w:val="20"/>
                <w:szCs w:val="20"/>
              </w:rPr>
            </w:pPr>
          </w:p>
        </w:tc>
        <w:tc>
          <w:tcPr>
            <w:tcW w:w="880" w:type="dxa"/>
            <w:tcBorders>
              <w:top w:val="nil"/>
              <w:left w:val="nil"/>
              <w:bottom w:val="single" w:color="auto" w:sz="4" w:space="0"/>
              <w:right w:val="single" w:color="auto" w:sz="4" w:space="0"/>
            </w:tcBorders>
            <w:noWrap w:val="0"/>
            <w:vAlign w:val="center"/>
          </w:tcPr>
          <w:p>
            <w:pPr>
              <w:widowControl/>
              <w:jc w:val="left"/>
              <w:rPr>
                <w:rFonts w:ascii="宋体" w:cs="宋体"/>
                <w:kern w:val="0"/>
                <w:sz w:val="20"/>
                <w:szCs w:val="20"/>
              </w:rPr>
            </w:pPr>
            <w:r>
              <w:rPr>
                <w:rFonts w:hint="eastAsia" w:ascii="宋体" w:hAnsi="宋体" w:cs="宋体"/>
                <w:kern w:val="0"/>
                <w:sz w:val="20"/>
                <w:szCs w:val="20"/>
              </w:rPr>
              <w:t>基础信息完善性</w:t>
            </w:r>
          </w:p>
        </w:tc>
        <w:tc>
          <w:tcPr>
            <w:tcW w:w="420" w:type="dxa"/>
            <w:tcBorders>
              <w:top w:val="nil"/>
              <w:left w:val="nil"/>
              <w:bottom w:val="single" w:color="auto" w:sz="4" w:space="0"/>
              <w:right w:val="single" w:color="auto" w:sz="4" w:space="0"/>
            </w:tcBorders>
            <w:noWrap w:val="0"/>
            <w:vAlign w:val="center"/>
          </w:tcPr>
          <w:p>
            <w:pPr>
              <w:widowControl/>
              <w:jc w:val="center"/>
              <w:rPr>
                <w:rFonts w:ascii="宋体" w:cs="宋体"/>
                <w:kern w:val="0"/>
                <w:sz w:val="20"/>
                <w:szCs w:val="20"/>
              </w:rPr>
            </w:pPr>
            <w:r>
              <w:rPr>
                <w:rFonts w:ascii="宋体" w:hAnsi="宋体" w:cs="宋体"/>
                <w:kern w:val="0"/>
                <w:sz w:val="20"/>
                <w:szCs w:val="20"/>
              </w:rPr>
              <w:t>1</w:t>
            </w:r>
          </w:p>
        </w:tc>
        <w:tc>
          <w:tcPr>
            <w:tcW w:w="3820" w:type="dxa"/>
            <w:tcBorders>
              <w:top w:val="nil"/>
              <w:left w:val="nil"/>
              <w:bottom w:val="single" w:color="auto" w:sz="4" w:space="0"/>
              <w:right w:val="single" w:color="auto" w:sz="4" w:space="0"/>
            </w:tcBorders>
            <w:noWrap w:val="0"/>
            <w:vAlign w:val="center"/>
          </w:tcPr>
          <w:p>
            <w:pPr>
              <w:widowControl/>
              <w:jc w:val="left"/>
              <w:rPr>
                <w:rFonts w:ascii="宋体" w:cs="宋体"/>
                <w:kern w:val="0"/>
                <w:sz w:val="20"/>
                <w:szCs w:val="20"/>
              </w:rPr>
            </w:pPr>
            <w:r>
              <w:rPr>
                <w:rFonts w:ascii="宋体" w:hAnsi="宋体" w:cs="宋体"/>
                <w:kern w:val="0"/>
                <w:sz w:val="20"/>
                <w:szCs w:val="20"/>
              </w:rPr>
              <w:t xml:space="preserve">  </w:t>
            </w:r>
            <w:r>
              <w:rPr>
                <w:rFonts w:hint="eastAsia" w:ascii="宋体" w:hAnsi="宋体" w:cs="宋体"/>
                <w:kern w:val="0"/>
                <w:sz w:val="20"/>
                <w:szCs w:val="20"/>
              </w:rPr>
              <w:t>部门基础信息是否完善，用以反映和考核基础信息对预算管理工作的支撑情况。</w:t>
            </w:r>
          </w:p>
        </w:tc>
        <w:tc>
          <w:tcPr>
            <w:tcW w:w="2500" w:type="dxa"/>
            <w:tcBorders>
              <w:top w:val="nil"/>
              <w:left w:val="nil"/>
              <w:bottom w:val="nil"/>
              <w:right w:val="nil"/>
            </w:tcBorders>
            <w:noWrap w:val="0"/>
            <w:vAlign w:val="center"/>
          </w:tcPr>
          <w:p>
            <w:pPr>
              <w:widowControl/>
              <w:jc w:val="left"/>
              <w:rPr>
                <w:rFonts w:ascii="宋体" w:cs="宋体"/>
                <w:kern w:val="0"/>
                <w:sz w:val="20"/>
                <w:szCs w:val="20"/>
              </w:rPr>
            </w:pPr>
            <w:r>
              <w:rPr>
                <w:rFonts w:hint="eastAsia" w:ascii="宋体" w:hAnsi="宋体" w:cs="宋体"/>
                <w:kern w:val="0"/>
                <w:sz w:val="20"/>
                <w:szCs w:val="20"/>
              </w:rPr>
              <w:t>基础数据信息和会计信息资料真实、完整、准确，得</w:t>
            </w:r>
            <w:r>
              <w:rPr>
                <w:rFonts w:ascii="宋体" w:hAnsi="宋体" w:cs="宋体"/>
                <w:kern w:val="0"/>
                <w:sz w:val="20"/>
                <w:szCs w:val="20"/>
              </w:rPr>
              <w:t>1</w:t>
            </w:r>
            <w:r>
              <w:rPr>
                <w:rFonts w:hint="eastAsia" w:ascii="宋体" w:hAnsi="宋体" w:cs="宋体"/>
                <w:kern w:val="0"/>
                <w:sz w:val="20"/>
                <w:szCs w:val="20"/>
              </w:rPr>
              <w:t>分。</w:t>
            </w:r>
          </w:p>
        </w:tc>
        <w:tc>
          <w:tcPr>
            <w:tcW w:w="860" w:type="dxa"/>
            <w:tcBorders>
              <w:top w:val="nil"/>
              <w:left w:val="single" w:color="auto" w:sz="4" w:space="0"/>
              <w:bottom w:val="single" w:color="auto" w:sz="4" w:space="0"/>
              <w:right w:val="single" w:color="auto" w:sz="4" w:space="0"/>
            </w:tcBorders>
            <w:noWrap w:val="0"/>
            <w:vAlign w:val="center"/>
          </w:tcPr>
          <w:p>
            <w:pPr>
              <w:widowControl/>
              <w:jc w:val="center"/>
              <w:rPr>
                <w:rFonts w:ascii="宋体" w:cs="宋体"/>
                <w:kern w:val="0"/>
                <w:sz w:val="24"/>
                <w:szCs w:val="24"/>
              </w:rPr>
            </w:pPr>
            <w:r>
              <w:rPr>
                <w:rFonts w:ascii="宋体" w:hAnsi="宋体" w:cs="宋体"/>
                <w:kern w:val="0"/>
                <w:sz w:val="24"/>
                <w:szCs w:val="24"/>
              </w:rPr>
              <w:t>1</w:t>
            </w:r>
          </w:p>
        </w:tc>
      </w:tr>
      <w:tr>
        <w:tblPrEx>
          <w:tblCellMar>
            <w:top w:w="0" w:type="dxa"/>
            <w:left w:w="108" w:type="dxa"/>
            <w:bottom w:w="0" w:type="dxa"/>
            <w:right w:w="108" w:type="dxa"/>
          </w:tblCellMar>
        </w:tblPrEx>
        <w:trPr>
          <w:trHeight w:val="825" w:hRule="atLeast"/>
        </w:trPr>
        <w:tc>
          <w:tcPr>
            <w:tcW w:w="62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cs="宋体"/>
                <w:kern w:val="0"/>
                <w:sz w:val="20"/>
                <w:szCs w:val="20"/>
              </w:rPr>
            </w:pPr>
          </w:p>
        </w:tc>
        <w:tc>
          <w:tcPr>
            <w:tcW w:w="620"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ascii="宋体" w:cs="宋体"/>
                <w:kern w:val="0"/>
                <w:sz w:val="20"/>
                <w:szCs w:val="20"/>
              </w:rPr>
            </w:pPr>
            <w:r>
              <w:rPr>
                <w:rFonts w:hint="eastAsia" w:ascii="宋体" w:hAnsi="宋体" w:cs="宋体"/>
                <w:kern w:val="0"/>
                <w:sz w:val="20"/>
                <w:szCs w:val="20"/>
              </w:rPr>
              <w:t>资产管理</w:t>
            </w:r>
          </w:p>
        </w:tc>
        <w:tc>
          <w:tcPr>
            <w:tcW w:w="880" w:type="dxa"/>
            <w:vMerge w:val="restart"/>
            <w:tcBorders>
              <w:top w:val="nil"/>
              <w:left w:val="single" w:color="auto" w:sz="4" w:space="0"/>
              <w:bottom w:val="single" w:color="auto" w:sz="4" w:space="0"/>
              <w:right w:val="single" w:color="auto" w:sz="4" w:space="0"/>
            </w:tcBorders>
            <w:noWrap w:val="0"/>
            <w:vAlign w:val="center"/>
          </w:tcPr>
          <w:p>
            <w:pPr>
              <w:widowControl/>
              <w:jc w:val="left"/>
              <w:rPr>
                <w:rFonts w:ascii="宋体" w:cs="宋体"/>
                <w:kern w:val="0"/>
                <w:sz w:val="20"/>
                <w:szCs w:val="20"/>
              </w:rPr>
            </w:pPr>
            <w:r>
              <w:rPr>
                <w:rFonts w:hint="eastAsia" w:ascii="宋体" w:hAnsi="宋体" w:cs="宋体"/>
                <w:kern w:val="0"/>
                <w:sz w:val="20"/>
                <w:szCs w:val="20"/>
              </w:rPr>
              <w:t>管理制度健全性</w:t>
            </w:r>
          </w:p>
        </w:tc>
        <w:tc>
          <w:tcPr>
            <w:tcW w:w="420"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ascii="宋体" w:cs="宋体"/>
                <w:kern w:val="0"/>
                <w:sz w:val="20"/>
                <w:szCs w:val="20"/>
              </w:rPr>
            </w:pPr>
            <w:r>
              <w:rPr>
                <w:rFonts w:ascii="宋体" w:hAnsi="宋体" w:cs="宋体"/>
                <w:kern w:val="0"/>
                <w:sz w:val="20"/>
                <w:szCs w:val="20"/>
              </w:rPr>
              <w:t>1</w:t>
            </w:r>
          </w:p>
        </w:tc>
        <w:tc>
          <w:tcPr>
            <w:tcW w:w="3820" w:type="dxa"/>
            <w:vMerge w:val="restart"/>
            <w:tcBorders>
              <w:top w:val="nil"/>
              <w:left w:val="single" w:color="auto" w:sz="4" w:space="0"/>
              <w:bottom w:val="single" w:color="auto" w:sz="4" w:space="0"/>
              <w:right w:val="single" w:color="auto" w:sz="4" w:space="0"/>
            </w:tcBorders>
            <w:noWrap w:val="0"/>
            <w:vAlign w:val="center"/>
          </w:tcPr>
          <w:p>
            <w:pPr>
              <w:widowControl/>
              <w:jc w:val="left"/>
              <w:rPr>
                <w:rFonts w:ascii="宋体" w:cs="宋体"/>
                <w:kern w:val="0"/>
                <w:sz w:val="20"/>
                <w:szCs w:val="20"/>
              </w:rPr>
            </w:pPr>
            <w:r>
              <w:rPr>
                <w:rFonts w:ascii="宋体" w:hAnsi="宋体" w:cs="宋体"/>
                <w:kern w:val="0"/>
                <w:sz w:val="20"/>
                <w:szCs w:val="20"/>
              </w:rPr>
              <w:t xml:space="preserve">  </w:t>
            </w:r>
            <w:r>
              <w:rPr>
                <w:rFonts w:hint="eastAsia" w:ascii="宋体" w:hAnsi="宋体" w:cs="宋体"/>
                <w:kern w:val="0"/>
                <w:sz w:val="20"/>
                <w:szCs w:val="20"/>
              </w:rPr>
              <w:t>部门为加强资产管理、规范资产管理行为而制定的管理制度是否健全完整，用以反映和考核部门资产管理制度对完成主要职责或促进社会发展的保障情况。</w:t>
            </w:r>
          </w:p>
        </w:tc>
        <w:tc>
          <w:tcPr>
            <w:tcW w:w="2500" w:type="dxa"/>
            <w:tcBorders>
              <w:top w:val="single" w:color="auto" w:sz="4" w:space="0"/>
              <w:left w:val="nil"/>
              <w:bottom w:val="nil"/>
              <w:right w:val="single" w:color="auto" w:sz="4" w:space="0"/>
            </w:tcBorders>
            <w:noWrap w:val="0"/>
            <w:vAlign w:val="center"/>
          </w:tcPr>
          <w:p>
            <w:pPr>
              <w:widowControl/>
              <w:jc w:val="left"/>
              <w:rPr>
                <w:rFonts w:ascii="宋体" w:cs="宋体"/>
                <w:kern w:val="0"/>
                <w:sz w:val="20"/>
                <w:szCs w:val="20"/>
              </w:rPr>
            </w:pPr>
            <w:r>
              <w:rPr>
                <w:rFonts w:hint="eastAsia" w:ascii="宋体" w:hAnsi="宋体" w:cs="宋体"/>
                <w:kern w:val="0"/>
                <w:sz w:val="20"/>
                <w:szCs w:val="20"/>
              </w:rPr>
              <w:t>①已制定或具有资产管理制度，相关资金管理制度合法、合规、完整。得</w:t>
            </w:r>
            <w:r>
              <w:rPr>
                <w:rFonts w:ascii="Times New Roman" w:hAnsi="Times New Roman"/>
                <w:kern w:val="0"/>
                <w:sz w:val="20"/>
                <w:szCs w:val="20"/>
              </w:rPr>
              <w:t>0.5</w:t>
            </w:r>
            <w:r>
              <w:rPr>
                <w:rFonts w:hint="eastAsia" w:ascii="宋体" w:hAnsi="宋体" w:cs="宋体"/>
                <w:kern w:val="0"/>
                <w:sz w:val="20"/>
                <w:szCs w:val="20"/>
              </w:rPr>
              <w:t>分；</w:t>
            </w:r>
          </w:p>
        </w:tc>
        <w:tc>
          <w:tcPr>
            <w:tcW w:w="860"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ascii="宋体" w:cs="宋体"/>
                <w:kern w:val="0"/>
                <w:sz w:val="24"/>
                <w:szCs w:val="24"/>
              </w:rPr>
            </w:pPr>
            <w:r>
              <w:rPr>
                <w:rFonts w:ascii="宋体" w:hAnsi="宋体" w:cs="宋体"/>
                <w:kern w:val="0"/>
                <w:sz w:val="24"/>
                <w:szCs w:val="24"/>
              </w:rPr>
              <w:t>1</w:t>
            </w:r>
          </w:p>
        </w:tc>
      </w:tr>
      <w:tr>
        <w:tblPrEx>
          <w:tblCellMar>
            <w:top w:w="0" w:type="dxa"/>
            <w:left w:w="108" w:type="dxa"/>
            <w:bottom w:w="0" w:type="dxa"/>
            <w:right w:w="108" w:type="dxa"/>
          </w:tblCellMar>
        </w:tblPrEx>
        <w:trPr>
          <w:trHeight w:val="750" w:hRule="atLeast"/>
        </w:trPr>
        <w:tc>
          <w:tcPr>
            <w:tcW w:w="62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cs="宋体"/>
                <w:kern w:val="0"/>
                <w:sz w:val="20"/>
                <w:szCs w:val="20"/>
              </w:rPr>
            </w:pPr>
          </w:p>
        </w:tc>
        <w:tc>
          <w:tcPr>
            <w:tcW w:w="62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cs="宋体"/>
                <w:kern w:val="0"/>
                <w:sz w:val="20"/>
                <w:szCs w:val="20"/>
              </w:rPr>
            </w:pPr>
          </w:p>
        </w:tc>
        <w:tc>
          <w:tcPr>
            <w:tcW w:w="88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cs="宋体"/>
                <w:kern w:val="0"/>
                <w:sz w:val="20"/>
                <w:szCs w:val="20"/>
              </w:rPr>
            </w:pPr>
          </w:p>
        </w:tc>
        <w:tc>
          <w:tcPr>
            <w:tcW w:w="42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cs="宋体"/>
                <w:kern w:val="0"/>
                <w:sz w:val="20"/>
                <w:szCs w:val="20"/>
              </w:rPr>
            </w:pPr>
          </w:p>
        </w:tc>
        <w:tc>
          <w:tcPr>
            <w:tcW w:w="382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cs="宋体"/>
                <w:kern w:val="0"/>
                <w:sz w:val="20"/>
                <w:szCs w:val="20"/>
              </w:rPr>
            </w:pPr>
          </w:p>
        </w:tc>
        <w:tc>
          <w:tcPr>
            <w:tcW w:w="2500" w:type="dxa"/>
            <w:tcBorders>
              <w:top w:val="nil"/>
              <w:left w:val="nil"/>
              <w:bottom w:val="single" w:color="auto" w:sz="4" w:space="0"/>
              <w:right w:val="single" w:color="auto" w:sz="4" w:space="0"/>
            </w:tcBorders>
            <w:noWrap w:val="0"/>
            <w:vAlign w:val="center"/>
          </w:tcPr>
          <w:p>
            <w:pPr>
              <w:widowControl/>
              <w:jc w:val="left"/>
              <w:rPr>
                <w:rFonts w:ascii="宋体" w:cs="宋体"/>
                <w:kern w:val="0"/>
                <w:sz w:val="20"/>
                <w:szCs w:val="20"/>
              </w:rPr>
            </w:pPr>
            <w:r>
              <w:rPr>
                <w:rFonts w:hint="eastAsia" w:ascii="宋体" w:hAnsi="宋体" w:cs="宋体"/>
                <w:kern w:val="0"/>
                <w:sz w:val="20"/>
                <w:szCs w:val="20"/>
              </w:rPr>
              <w:t>②相关资产管理制度得到有效执行，得</w:t>
            </w:r>
            <w:r>
              <w:rPr>
                <w:rFonts w:ascii="宋体" w:hAnsi="宋体" w:cs="宋体"/>
                <w:kern w:val="0"/>
                <w:sz w:val="20"/>
                <w:szCs w:val="20"/>
              </w:rPr>
              <w:t>0.5</w:t>
            </w:r>
            <w:r>
              <w:rPr>
                <w:rFonts w:hint="eastAsia" w:ascii="宋体" w:hAnsi="宋体" w:cs="宋体"/>
                <w:kern w:val="0"/>
                <w:sz w:val="20"/>
                <w:szCs w:val="20"/>
              </w:rPr>
              <w:t>分。</w:t>
            </w:r>
          </w:p>
        </w:tc>
        <w:tc>
          <w:tcPr>
            <w:tcW w:w="86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cs="宋体"/>
                <w:kern w:val="0"/>
                <w:sz w:val="24"/>
                <w:szCs w:val="24"/>
              </w:rPr>
            </w:pPr>
          </w:p>
        </w:tc>
      </w:tr>
      <w:tr>
        <w:tblPrEx>
          <w:tblCellMar>
            <w:top w:w="0" w:type="dxa"/>
            <w:left w:w="108" w:type="dxa"/>
            <w:bottom w:w="0" w:type="dxa"/>
            <w:right w:w="108" w:type="dxa"/>
          </w:tblCellMar>
        </w:tblPrEx>
        <w:trPr>
          <w:trHeight w:val="825" w:hRule="atLeast"/>
        </w:trPr>
        <w:tc>
          <w:tcPr>
            <w:tcW w:w="62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cs="宋体"/>
                <w:kern w:val="0"/>
                <w:sz w:val="20"/>
                <w:szCs w:val="20"/>
              </w:rPr>
            </w:pPr>
          </w:p>
        </w:tc>
        <w:tc>
          <w:tcPr>
            <w:tcW w:w="62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cs="宋体"/>
                <w:kern w:val="0"/>
                <w:sz w:val="20"/>
                <w:szCs w:val="20"/>
              </w:rPr>
            </w:pPr>
          </w:p>
        </w:tc>
        <w:tc>
          <w:tcPr>
            <w:tcW w:w="880" w:type="dxa"/>
            <w:vMerge w:val="restart"/>
            <w:tcBorders>
              <w:top w:val="nil"/>
              <w:left w:val="single" w:color="auto" w:sz="4" w:space="0"/>
              <w:bottom w:val="single" w:color="auto" w:sz="4" w:space="0"/>
              <w:right w:val="single" w:color="auto" w:sz="4" w:space="0"/>
            </w:tcBorders>
            <w:noWrap w:val="0"/>
            <w:vAlign w:val="center"/>
          </w:tcPr>
          <w:p>
            <w:pPr>
              <w:widowControl/>
              <w:jc w:val="left"/>
              <w:rPr>
                <w:rFonts w:ascii="宋体" w:cs="宋体"/>
                <w:kern w:val="0"/>
                <w:sz w:val="20"/>
                <w:szCs w:val="20"/>
              </w:rPr>
            </w:pPr>
            <w:r>
              <w:rPr>
                <w:rFonts w:hint="eastAsia" w:ascii="宋体" w:hAnsi="宋体" w:cs="宋体"/>
                <w:kern w:val="0"/>
                <w:sz w:val="20"/>
                <w:szCs w:val="20"/>
              </w:rPr>
              <w:t>资产管理安全性</w:t>
            </w:r>
          </w:p>
        </w:tc>
        <w:tc>
          <w:tcPr>
            <w:tcW w:w="420"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ascii="宋体" w:cs="宋体"/>
                <w:kern w:val="0"/>
                <w:sz w:val="20"/>
                <w:szCs w:val="20"/>
              </w:rPr>
            </w:pPr>
            <w:r>
              <w:rPr>
                <w:rFonts w:ascii="宋体" w:hAnsi="宋体" w:cs="宋体"/>
                <w:kern w:val="0"/>
                <w:sz w:val="20"/>
                <w:szCs w:val="20"/>
              </w:rPr>
              <w:t>1</w:t>
            </w:r>
          </w:p>
        </w:tc>
        <w:tc>
          <w:tcPr>
            <w:tcW w:w="3820" w:type="dxa"/>
            <w:vMerge w:val="restart"/>
            <w:tcBorders>
              <w:top w:val="nil"/>
              <w:left w:val="single" w:color="auto" w:sz="4" w:space="0"/>
              <w:bottom w:val="single" w:color="auto" w:sz="4" w:space="0"/>
              <w:right w:val="single" w:color="auto" w:sz="4" w:space="0"/>
            </w:tcBorders>
            <w:noWrap w:val="0"/>
            <w:vAlign w:val="center"/>
          </w:tcPr>
          <w:p>
            <w:pPr>
              <w:widowControl/>
              <w:jc w:val="left"/>
              <w:rPr>
                <w:rFonts w:ascii="宋体" w:cs="宋体"/>
                <w:kern w:val="0"/>
                <w:sz w:val="20"/>
                <w:szCs w:val="20"/>
              </w:rPr>
            </w:pPr>
            <w:r>
              <w:rPr>
                <w:rFonts w:ascii="宋体" w:hAnsi="宋体" w:cs="宋体"/>
                <w:kern w:val="0"/>
                <w:sz w:val="20"/>
                <w:szCs w:val="20"/>
              </w:rPr>
              <w:t xml:space="preserve">  </w:t>
            </w:r>
            <w:r>
              <w:rPr>
                <w:rFonts w:hint="eastAsia" w:ascii="宋体" w:hAnsi="宋体" w:cs="宋体"/>
                <w:kern w:val="0"/>
                <w:sz w:val="20"/>
                <w:szCs w:val="20"/>
              </w:rPr>
              <w:t>部门的资产是否保存完整、使用合规、配置合理、处置规范、收入及时足额上缴，用以反映和考核部门资产安全运行情况。</w:t>
            </w:r>
          </w:p>
        </w:tc>
        <w:tc>
          <w:tcPr>
            <w:tcW w:w="2500" w:type="dxa"/>
            <w:tcBorders>
              <w:top w:val="nil"/>
              <w:left w:val="nil"/>
              <w:bottom w:val="nil"/>
              <w:right w:val="single" w:color="auto" w:sz="4" w:space="0"/>
            </w:tcBorders>
            <w:noWrap w:val="0"/>
            <w:vAlign w:val="center"/>
          </w:tcPr>
          <w:p>
            <w:pPr>
              <w:widowControl/>
              <w:jc w:val="left"/>
              <w:rPr>
                <w:rFonts w:ascii="宋体" w:cs="宋体"/>
                <w:kern w:val="0"/>
                <w:sz w:val="20"/>
                <w:szCs w:val="20"/>
              </w:rPr>
            </w:pPr>
            <w:r>
              <w:rPr>
                <w:rFonts w:hint="eastAsia" w:ascii="宋体" w:hAnsi="宋体" w:cs="宋体"/>
                <w:kern w:val="0"/>
                <w:sz w:val="20"/>
                <w:szCs w:val="20"/>
              </w:rPr>
              <w:t>①资产保存完整、配置合理、处置规范，得</w:t>
            </w:r>
            <w:r>
              <w:rPr>
                <w:rFonts w:ascii="Times New Roman" w:hAnsi="Times New Roman"/>
                <w:kern w:val="0"/>
                <w:sz w:val="20"/>
                <w:szCs w:val="20"/>
              </w:rPr>
              <w:t>0.5</w:t>
            </w:r>
            <w:r>
              <w:rPr>
                <w:rFonts w:hint="eastAsia" w:ascii="宋体" w:hAnsi="宋体" w:cs="宋体"/>
                <w:kern w:val="0"/>
                <w:sz w:val="20"/>
                <w:szCs w:val="20"/>
              </w:rPr>
              <w:t>分；</w:t>
            </w:r>
          </w:p>
        </w:tc>
        <w:tc>
          <w:tcPr>
            <w:tcW w:w="860"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ascii="宋体" w:cs="宋体"/>
                <w:kern w:val="0"/>
                <w:sz w:val="24"/>
                <w:szCs w:val="24"/>
              </w:rPr>
            </w:pPr>
            <w:r>
              <w:rPr>
                <w:rFonts w:ascii="宋体" w:hAnsi="宋体" w:cs="宋体"/>
                <w:kern w:val="0"/>
                <w:sz w:val="24"/>
                <w:szCs w:val="24"/>
              </w:rPr>
              <w:t>1</w:t>
            </w:r>
          </w:p>
        </w:tc>
      </w:tr>
      <w:tr>
        <w:trPr>
          <w:trHeight w:val="1095" w:hRule="atLeast"/>
        </w:trPr>
        <w:tc>
          <w:tcPr>
            <w:tcW w:w="62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cs="宋体"/>
                <w:kern w:val="0"/>
                <w:sz w:val="20"/>
                <w:szCs w:val="20"/>
              </w:rPr>
            </w:pPr>
          </w:p>
        </w:tc>
        <w:tc>
          <w:tcPr>
            <w:tcW w:w="62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cs="宋体"/>
                <w:kern w:val="0"/>
                <w:sz w:val="20"/>
                <w:szCs w:val="20"/>
              </w:rPr>
            </w:pPr>
          </w:p>
        </w:tc>
        <w:tc>
          <w:tcPr>
            <w:tcW w:w="88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cs="宋体"/>
                <w:kern w:val="0"/>
                <w:sz w:val="20"/>
                <w:szCs w:val="20"/>
              </w:rPr>
            </w:pPr>
          </w:p>
        </w:tc>
        <w:tc>
          <w:tcPr>
            <w:tcW w:w="42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cs="宋体"/>
                <w:kern w:val="0"/>
                <w:sz w:val="20"/>
                <w:szCs w:val="20"/>
              </w:rPr>
            </w:pPr>
          </w:p>
        </w:tc>
        <w:tc>
          <w:tcPr>
            <w:tcW w:w="382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cs="宋体"/>
                <w:kern w:val="0"/>
                <w:sz w:val="20"/>
                <w:szCs w:val="20"/>
              </w:rPr>
            </w:pPr>
          </w:p>
        </w:tc>
        <w:tc>
          <w:tcPr>
            <w:tcW w:w="2500" w:type="dxa"/>
            <w:tcBorders>
              <w:top w:val="nil"/>
              <w:left w:val="nil"/>
              <w:bottom w:val="single" w:color="auto" w:sz="4" w:space="0"/>
              <w:right w:val="single" w:color="auto" w:sz="4" w:space="0"/>
            </w:tcBorders>
            <w:noWrap w:val="0"/>
            <w:vAlign w:val="center"/>
          </w:tcPr>
          <w:p>
            <w:pPr>
              <w:widowControl/>
              <w:jc w:val="left"/>
              <w:rPr>
                <w:rFonts w:ascii="宋体" w:cs="宋体"/>
                <w:kern w:val="0"/>
                <w:sz w:val="20"/>
                <w:szCs w:val="20"/>
              </w:rPr>
            </w:pPr>
            <w:r>
              <w:rPr>
                <w:rFonts w:hint="eastAsia" w:ascii="宋体" w:hAnsi="宋体" w:cs="宋体"/>
                <w:kern w:val="0"/>
                <w:sz w:val="20"/>
                <w:szCs w:val="20"/>
              </w:rPr>
              <w:t>②资产账务管理合规，</w:t>
            </w:r>
            <w:r>
              <w:rPr>
                <w:rFonts w:hint="eastAsia" w:ascii="宋体" w:hAnsi="宋体" w:cs="宋体"/>
                <w:kern w:val="0"/>
                <w:sz w:val="20"/>
                <w:szCs w:val="20"/>
                <w:lang w:eastAsia="zh-CN"/>
              </w:rPr>
              <w:t>账</w:t>
            </w:r>
            <w:bookmarkStart w:id="0" w:name="_GoBack"/>
            <w:bookmarkEnd w:id="0"/>
            <w:r>
              <w:rPr>
                <w:rFonts w:hint="eastAsia" w:ascii="宋体" w:hAnsi="宋体" w:cs="宋体"/>
                <w:kern w:val="0"/>
                <w:sz w:val="20"/>
                <w:szCs w:val="20"/>
              </w:rPr>
              <w:t>实相符，资产有偿使用及处置收入及时足额上缴，得</w:t>
            </w:r>
            <w:r>
              <w:rPr>
                <w:rFonts w:ascii="宋体" w:hAnsi="宋体" w:cs="宋体"/>
                <w:kern w:val="0"/>
                <w:sz w:val="20"/>
                <w:szCs w:val="20"/>
              </w:rPr>
              <w:t>0.5</w:t>
            </w:r>
            <w:r>
              <w:rPr>
                <w:rFonts w:hint="eastAsia" w:ascii="宋体" w:hAnsi="宋体" w:cs="宋体"/>
                <w:kern w:val="0"/>
                <w:sz w:val="20"/>
                <w:szCs w:val="20"/>
              </w:rPr>
              <w:t>分。</w:t>
            </w:r>
          </w:p>
        </w:tc>
        <w:tc>
          <w:tcPr>
            <w:tcW w:w="86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cs="宋体"/>
                <w:kern w:val="0"/>
                <w:sz w:val="24"/>
                <w:szCs w:val="24"/>
              </w:rPr>
            </w:pPr>
          </w:p>
        </w:tc>
      </w:tr>
      <w:tr>
        <w:tblPrEx>
          <w:tblCellMar>
            <w:top w:w="0" w:type="dxa"/>
            <w:left w:w="108" w:type="dxa"/>
            <w:bottom w:w="0" w:type="dxa"/>
            <w:right w:w="108" w:type="dxa"/>
          </w:tblCellMar>
        </w:tblPrEx>
        <w:trPr>
          <w:trHeight w:val="975" w:hRule="atLeast"/>
        </w:trPr>
        <w:tc>
          <w:tcPr>
            <w:tcW w:w="62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cs="宋体"/>
                <w:kern w:val="0"/>
                <w:sz w:val="20"/>
                <w:szCs w:val="20"/>
              </w:rPr>
            </w:pPr>
          </w:p>
        </w:tc>
        <w:tc>
          <w:tcPr>
            <w:tcW w:w="62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cs="宋体"/>
                <w:kern w:val="0"/>
                <w:sz w:val="20"/>
                <w:szCs w:val="20"/>
              </w:rPr>
            </w:pPr>
          </w:p>
        </w:tc>
        <w:tc>
          <w:tcPr>
            <w:tcW w:w="880" w:type="dxa"/>
            <w:vMerge w:val="restart"/>
            <w:tcBorders>
              <w:top w:val="nil"/>
              <w:left w:val="single" w:color="auto" w:sz="4" w:space="0"/>
              <w:bottom w:val="single" w:color="auto" w:sz="4" w:space="0"/>
              <w:right w:val="single" w:color="auto" w:sz="4" w:space="0"/>
            </w:tcBorders>
            <w:noWrap w:val="0"/>
            <w:vAlign w:val="center"/>
          </w:tcPr>
          <w:p>
            <w:pPr>
              <w:widowControl/>
              <w:jc w:val="left"/>
              <w:rPr>
                <w:rFonts w:ascii="宋体" w:cs="宋体"/>
                <w:kern w:val="0"/>
                <w:sz w:val="20"/>
                <w:szCs w:val="20"/>
              </w:rPr>
            </w:pPr>
            <w:r>
              <w:rPr>
                <w:rFonts w:hint="eastAsia" w:ascii="宋体" w:hAnsi="宋体" w:cs="宋体"/>
                <w:kern w:val="0"/>
                <w:sz w:val="20"/>
                <w:szCs w:val="20"/>
              </w:rPr>
              <w:t>固定资产利用率</w:t>
            </w:r>
          </w:p>
        </w:tc>
        <w:tc>
          <w:tcPr>
            <w:tcW w:w="420"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ascii="宋体" w:cs="宋体"/>
                <w:kern w:val="0"/>
                <w:sz w:val="20"/>
                <w:szCs w:val="20"/>
              </w:rPr>
            </w:pPr>
            <w:r>
              <w:rPr>
                <w:rFonts w:ascii="宋体" w:hAnsi="宋体" w:cs="宋体"/>
                <w:kern w:val="0"/>
                <w:sz w:val="20"/>
                <w:szCs w:val="20"/>
              </w:rPr>
              <w:t>1</w:t>
            </w:r>
          </w:p>
        </w:tc>
        <w:tc>
          <w:tcPr>
            <w:tcW w:w="3820" w:type="dxa"/>
            <w:tcBorders>
              <w:top w:val="nil"/>
              <w:left w:val="nil"/>
              <w:bottom w:val="nil"/>
              <w:right w:val="single" w:color="auto" w:sz="4" w:space="0"/>
            </w:tcBorders>
            <w:noWrap w:val="0"/>
            <w:vAlign w:val="center"/>
          </w:tcPr>
          <w:p>
            <w:pPr>
              <w:widowControl/>
              <w:jc w:val="left"/>
              <w:rPr>
                <w:rFonts w:ascii="宋体" w:cs="宋体"/>
                <w:kern w:val="0"/>
                <w:sz w:val="20"/>
                <w:szCs w:val="20"/>
              </w:rPr>
            </w:pPr>
            <w:r>
              <w:rPr>
                <w:rFonts w:ascii="宋体" w:hAnsi="宋体" w:cs="宋体"/>
                <w:kern w:val="0"/>
                <w:sz w:val="20"/>
                <w:szCs w:val="20"/>
              </w:rPr>
              <w:t xml:space="preserve">  </w:t>
            </w:r>
            <w:r>
              <w:rPr>
                <w:rFonts w:hint="eastAsia" w:ascii="宋体" w:hAnsi="宋体" w:cs="宋体"/>
                <w:kern w:val="0"/>
                <w:sz w:val="20"/>
                <w:szCs w:val="20"/>
              </w:rPr>
              <w:t>实际在用固定资产总额与所有固定资产总额的比率，用以反映和考核部门固定资产使用效率程度。</w:t>
            </w:r>
          </w:p>
        </w:tc>
        <w:tc>
          <w:tcPr>
            <w:tcW w:w="2500" w:type="dxa"/>
            <w:tcBorders>
              <w:top w:val="nil"/>
              <w:left w:val="nil"/>
              <w:bottom w:val="nil"/>
              <w:right w:val="single" w:color="auto" w:sz="4" w:space="0"/>
            </w:tcBorders>
            <w:noWrap w:val="0"/>
            <w:vAlign w:val="center"/>
          </w:tcPr>
          <w:p>
            <w:pPr>
              <w:widowControl/>
              <w:jc w:val="left"/>
              <w:rPr>
                <w:rFonts w:ascii="宋体" w:cs="宋体"/>
                <w:kern w:val="0"/>
                <w:sz w:val="20"/>
                <w:szCs w:val="20"/>
              </w:rPr>
            </w:pPr>
            <w:r>
              <w:rPr>
                <w:rFonts w:hint="eastAsia" w:ascii="宋体" w:hAnsi="宋体" w:cs="宋体"/>
                <w:kern w:val="0"/>
                <w:sz w:val="20"/>
                <w:szCs w:val="20"/>
              </w:rPr>
              <w:t>固定资产利用率</w:t>
            </w:r>
            <w:r>
              <w:rPr>
                <w:rFonts w:ascii="宋体" w:hAnsi="宋体" w:cs="宋体"/>
                <w:kern w:val="0"/>
                <w:sz w:val="20"/>
                <w:szCs w:val="20"/>
              </w:rPr>
              <w:t>=100%</w:t>
            </w:r>
            <w:r>
              <w:rPr>
                <w:rFonts w:hint="eastAsia" w:ascii="宋体" w:hAnsi="宋体" w:cs="宋体"/>
                <w:kern w:val="0"/>
                <w:sz w:val="20"/>
                <w:szCs w:val="20"/>
              </w:rPr>
              <w:t>，得</w:t>
            </w:r>
            <w:r>
              <w:rPr>
                <w:rFonts w:ascii="宋体" w:hAnsi="宋体" w:cs="宋体"/>
                <w:kern w:val="0"/>
                <w:sz w:val="20"/>
                <w:szCs w:val="20"/>
              </w:rPr>
              <w:t>1</w:t>
            </w:r>
            <w:r>
              <w:rPr>
                <w:rFonts w:hint="eastAsia" w:ascii="宋体" w:hAnsi="宋体" w:cs="宋体"/>
                <w:kern w:val="0"/>
                <w:sz w:val="20"/>
                <w:szCs w:val="20"/>
              </w:rPr>
              <w:t>分；</w:t>
            </w:r>
          </w:p>
        </w:tc>
        <w:tc>
          <w:tcPr>
            <w:tcW w:w="860"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ascii="宋体" w:cs="宋体"/>
                <w:kern w:val="0"/>
                <w:sz w:val="24"/>
                <w:szCs w:val="24"/>
              </w:rPr>
            </w:pPr>
            <w:r>
              <w:rPr>
                <w:rFonts w:ascii="宋体" w:hAnsi="宋体" w:cs="宋体"/>
                <w:kern w:val="0"/>
                <w:sz w:val="24"/>
                <w:szCs w:val="24"/>
              </w:rPr>
              <w:t>1</w:t>
            </w:r>
          </w:p>
        </w:tc>
      </w:tr>
      <w:tr>
        <w:tblPrEx>
          <w:tblCellMar>
            <w:top w:w="0" w:type="dxa"/>
            <w:left w:w="108" w:type="dxa"/>
            <w:bottom w:w="0" w:type="dxa"/>
            <w:right w:w="108" w:type="dxa"/>
          </w:tblCellMar>
        </w:tblPrEx>
        <w:trPr>
          <w:trHeight w:val="930" w:hRule="atLeast"/>
        </w:trPr>
        <w:tc>
          <w:tcPr>
            <w:tcW w:w="62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cs="宋体"/>
                <w:kern w:val="0"/>
                <w:sz w:val="20"/>
                <w:szCs w:val="20"/>
              </w:rPr>
            </w:pPr>
          </w:p>
        </w:tc>
        <w:tc>
          <w:tcPr>
            <w:tcW w:w="62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cs="宋体"/>
                <w:kern w:val="0"/>
                <w:sz w:val="20"/>
                <w:szCs w:val="20"/>
              </w:rPr>
            </w:pPr>
          </w:p>
        </w:tc>
        <w:tc>
          <w:tcPr>
            <w:tcW w:w="88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cs="宋体"/>
                <w:kern w:val="0"/>
                <w:sz w:val="20"/>
                <w:szCs w:val="20"/>
              </w:rPr>
            </w:pPr>
          </w:p>
        </w:tc>
        <w:tc>
          <w:tcPr>
            <w:tcW w:w="42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cs="宋体"/>
                <w:kern w:val="0"/>
                <w:sz w:val="20"/>
                <w:szCs w:val="20"/>
              </w:rPr>
            </w:pPr>
          </w:p>
        </w:tc>
        <w:tc>
          <w:tcPr>
            <w:tcW w:w="3820" w:type="dxa"/>
            <w:tcBorders>
              <w:top w:val="nil"/>
              <w:left w:val="nil"/>
              <w:bottom w:val="single" w:color="auto" w:sz="4" w:space="0"/>
              <w:right w:val="single" w:color="auto" w:sz="4" w:space="0"/>
            </w:tcBorders>
            <w:noWrap w:val="0"/>
            <w:vAlign w:val="center"/>
          </w:tcPr>
          <w:p>
            <w:pPr>
              <w:widowControl/>
              <w:jc w:val="left"/>
              <w:rPr>
                <w:rFonts w:ascii="宋体" w:cs="宋体"/>
                <w:kern w:val="0"/>
                <w:sz w:val="20"/>
                <w:szCs w:val="20"/>
              </w:rPr>
            </w:pPr>
            <w:r>
              <w:rPr>
                <w:rFonts w:ascii="宋体" w:hAnsi="宋体" w:cs="宋体"/>
                <w:kern w:val="0"/>
                <w:sz w:val="20"/>
                <w:szCs w:val="20"/>
              </w:rPr>
              <w:t xml:space="preserve">  </w:t>
            </w:r>
            <w:r>
              <w:rPr>
                <w:rFonts w:hint="eastAsia" w:ascii="宋体" w:hAnsi="宋体" w:cs="宋体"/>
                <w:kern w:val="0"/>
                <w:sz w:val="20"/>
                <w:szCs w:val="20"/>
              </w:rPr>
              <w:t>固定资产利用率</w:t>
            </w:r>
            <w:r>
              <w:rPr>
                <w:rFonts w:ascii="宋体" w:hAnsi="宋体" w:cs="宋体"/>
                <w:kern w:val="0"/>
                <w:sz w:val="20"/>
                <w:szCs w:val="20"/>
              </w:rPr>
              <w:t>=</w:t>
            </w:r>
            <w:r>
              <w:rPr>
                <w:rFonts w:hint="eastAsia" w:ascii="宋体" w:hAnsi="宋体" w:cs="宋体"/>
                <w:kern w:val="0"/>
                <w:sz w:val="20"/>
                <w:szCs w:val="20"/>
              </w:rPr>
              <w:t>（实际在用固定资产总额</w:t>
            </w:r>
            <w:r>
              <w:rPr>
                <w:rFonts w:ascii="宋体" w:hAnsi="宋体" w:cs="宋体"/>
                <w:kern w:val="0"/>
                <w:sz w:val="20"/>
                <w:szCs w:val="20"/>
              </w:rPr>
              <w:t>/</w:t>
            </w:r>
            <w:r>
              <w:rPr>
                <w:rFonts w:hint="eastAsia" w:ascii="宋体" w:hAnsi="宋体" w:cs="宋体"/>
                <w:kern w:val="0"/>
                <w:sz w:val="20"/>
                <w:szCs w:val="20"/>
              </w:rPr>
              <w:t>所有固定资产总额）×</w:t>
            </w:r>
            <w:r>
              <w:rPr>
                <w:rFonts w:ascii="宋体" w:hAnsi="宋体" w:cs="宋体"/>
                <w:kern w:val="0"/>
                <w:sz w:val="20"/>
                <w:szCs w:val="20"/>
              </w:rPr>
              <w:t>100%</w:t>
            </w:r>
            <w:r>
              <w:rPr>
                <w:rFonts w:hint="eastAsia" w:ascii="宋体" w:hAnsi="宋体" w:cs="宋体"/>
                <w:kern w:val="0"/>
                <w:sz w:val="20"/>
                <w:szCs w:val="20"/>
              </w:rPr>
              <w:t>。</w:t>
            </w:r>
          </w:p>
        </w:tc>
        <w:tc>
          <w:tcPr>
            <w:tcW w:w="2500" w:type="dxa"/>
            <w:tcBorders>
              <w:top w:val="nil"/>
              <w:left w:val="nil"/>
              <w:bottom w:val="single" w:color="auto" w:sz="4" w:space="0"/>
              <w:right w:val="single" w:color="auto" w:sz="4" w:space="0"/>
            </w:tcBorders>
            <w:noWrap w:val="0"/>
            <w:vAlign w:val="center"/>
          </w:tcPr>
          <w:p>
            <w:pPr>
              <w:widowControl/>
              <w:jc w:val="left"/>
              <w:rPr>
                <w:rFonts w:ascii="宋体" w:cs="宋体"/>
                <w:kern w:val="0"/>
                <w:sz w:val="20"/>
                <w:szCs w:val="20"/>
              </w:rPr>
            </w:pPr>
            <w:r>
              <w:rPr>
                <w:rFonts w:hint="eastAsia" w:ascii="宋体" w:hAnsi="宋体" w:cs="宋体"/>
                <w:kern w:val="0"/>
                <w:sz w:val="20"/>
                <w:szCs w:val="20"/>
              </w:rPr>
              <w:t>每低于一个百分点，扣</w:t>
            </w:r>
            <w:r>
              <w:rPr>
                <w:rFonts w:ascii="宋体" w:hAnsi="宋体" w:cs="宋体"/>
                <w:kern w:val="0"/>
                <w:sz w:val="20"/>
                <w:szCs w:val="20"/>
              </w:rPr>
              <w:t>0.1</w:t>
            </w:r>
            <w:r>
              <w:rPr>
                <w:rFonts w:hint="eastAsia" w:ascii="宋体" w:hAnsi="宋体" w:cs="宋体"/>
                <w:kern w:val="0"/>
                <w:sz w:val="20"/>
                <w:szCs w:val="20"/>
              </w:rPr>
              <w:t>分，扣完为止。</w:t>
            </w:r>
          </w:p>
        </w:tc>
        <w:tc>
          <w:tcPr>
            <w:tcW w:w="86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cs="宋体"/>
                <w:kern w:val="0"/>
                <w:sz w:val="24"/>
                <w:szCs w:val="24"/>
              </w:rPr>
            </w:pPr>
          </w:p>
        </w:tc>
      </w:tr>
      <w:tr>
        <w:tblPrEx>
          <w:tblCellMar>
            <w:top w:w="0" w:type="dxa"/>
            <w:left w:w="108" w:type="dxa"/>
            <w:bottom w:w="0" w:type="dxa"/>
            <w:right w:w="108" w:type="dxa"/>
          </w:tblCellMar>
        </w:tblPrEx>
        <w:trPr>
          <w:trHeight w:val="2550" w:hRule="atLeast"/>
        </w:trPr>
        <w:tc>
          <w:tcPr>
            <w:tcW w:w="620" w:type="dxa"/>
            <w:vMerge w:val="restart"/>
            <w:tcBorders>
              <w:top w:val="nil"/>
              <w:left w:val="single" w:color="auto" w:sz="4" w:space="0"/>
              <w:bottom w:val="nil"/>
              <w:right w:val="single" w:color="auto" w:sz="4" w:space="0"/>
            </w:tcBorders>
            <w:noWrap w:val="0"/>
            <w:vAlign w:val="center"/>
          </w:tcPr>
          <w:p>
            <w:pPr>
              <w:widowControl/>
              <w:jc w:val="center"/>
              <w:rPr>
                <w:rFonts w:ascii="宋体" w:cs="宋体"/>
                <w:kern w:val="0"/>
                <w:sz w:val="20"/>
                <w:szCs w:val="20"/>
              </w:rPr>
            </w:pPr>
            <w:r>
              <w:rPr>
                <w:rFonts w:hint="eastAsia" w:ascii="宋体" w:hAnsi="宋体" w:cs="宋体"/>
                <w:kern w:val="0"/>
                <w:sz w:val="20"/>
                <w:szCs w:val="20"/>
              </w:rPr>
              <w:t>产</w:t>
            </w:r>
            <w:r>
              <w:rPr>
                <w:rFonts w:ascii="宋体" w:hAnsi="宋体" w:cs="宋体"/>
                <w:kern w:val="0"/>
                <w:sz w:val="20"/>
                <w:szCs w:val="20"/>
              </w:rPr>
              <w:t xml:space="preserve">      </w:t>
            </w:r>
            <w:r>
              <w:rPr>
                <w:rFonts w:hint="eastAsia" w:ascii="宋体" w:hAnsi="宋体" w:cs="宋体"/>
                <w:kern w:val="0"/>
                <w:sz w:val="20"/>
                <w:szCs w:val="20"/>
              </w:rPr>
              <w:t>出</w:t>
            </w:r>
          </w:p>
        </w:tc>
        <w:tc>
          <w:tcPr>
            <w:tcW w:w="620" w:type="dxa"/>
            <w:vMerge w:val="restart"/>
            <w:tcBorders>
              <w:top w:val="nil"/>
              <w:left w:val="single" w:color="auto" w:sz="4" w:space="0"/>
              <w:bottom w:val="single" w:color="000000" w:sz="4" w:space="0"/>
              <w:right w:val="single" w:color="auto" w:sz="4" w:space="0"/>
            </w:tcBorders>
            <w:noWrap w:val="0"/>
            <w:vAlign w:val="center"/>
          </w:tcPr>
          <w:p>
            <w:pPr>
              <w:widowControl/>
              <w:jc w:val="center"/>
              <w:rPr>
                <w:rFonts w:ascii="宋体" w:cs="宋体"/>
                <w:kern w:val="0"/>
                <w:sz w:val="20"/>
                <w:szCs w:val="20"/>
              </w:rPr>
            </w:pPr>
            <w:r>
              <w:rPr>
                <w:rFonts w:hint="eastAsia" w:ascii="宋体" w:hAnsi="宋体" w:cs="宋体"/>
                <w:kern w:val="0"/>
                <w:sz w:val="20"/>
                <w:szCs w:val="20"/>
              </w:rPr>
              <w:t>职责履行</w:t>
            </w:r>
          </w:p>
        </w:tc>
        <w:tc>
          <w:tcPr>
            <w:tcW w:w="880" w:type="dxa"/>
            <w:tcBorders>
              <w:top w:val="nil"/>
              <w:left w:val="nil"/>
              <w:bottom w:val="single" w:color="auto" w:sz="4" w:space="0"/>
              <w:right w:val="single" w:color="auto" w:sz="4" w:space="0"/>
            </w:tcBorders>
            <w:noWrap w:val="0"/>
            <w:vAlign w:val="center"/>
          </w:tcPr>
          <w:p>
            <w:pPr>
              <w:widowControl/>
              <w:jc w:val="left"/>
              <w:rPr>
                <w:rFonts w:ascii="宋体" w:cs="宋体"/>
                <w:kern w:val="0"/>
                <w:sz w:val="20"/>
                <w:szCs w:val="20"/>
              </w:rPr>
            </w:pPr>
            <w:r>
              <w:rPr>
                <w:rFonts w:hint="eastAsia" w:ascii="宋体" w:hAnsi="宋体" w:cs="宋体"/>
                <w:kern w:val="0"/>
                <w:sz w:val="20"/>
                <w:szCs w:val="20"/>
              </w:rPr>
              <w:t>实际完成率</w:t>
            </w:r>
          </w:p>
        </w:tc>
        <w:tc>
          <w:tcPr>
            <w:tcW w:w="420" w:type="dxa"/>
            <w:vMerge w:val="restart"/>
            <w:tcBorders>
              <w:top w:val="nil"/>
              <w:left w:val="single" w:color="auto" w:sz="4" w:space="0"/>
              <w:bottom w:val="single" w:color="000000" w:sz="4" w:space="0"/>
              <w:right w:val="single" w:color="auto" w:sz="4" w:space="0"/>
            </w:tcBorders>
            <w:noWrap w:val="0"/>
            <w:vAlign w:val="center"/>
          </w:tcPr>
          <w:p>
            <w:pPr>
              <w:widowControl/>
              <w:jc w:val="center"/>
              <w:rPr>
                <w:rFonts w:ascii="宋体" w:cs="宋体"/>
                <w:kern w:val="0"/>
                <w:sz w:val="20"/>
                <w:szCs w:val="20"/>
              </w:rPr>
            </w:pPr>
            <w:r>
              <w:rPr>
                <w:rFonts w:ascii="宋体" w:hAnsi="宋体" w:cs="宋体"/>
                <w:kern w:val="0"/>
                <w:sz w:val="20"/>
                <w:szCs w:val="20"/>
              </w:rPr>
              <w:t>24</w:t>
            </w:r>
          </w:p>
        </w:tc>
        <w:tc>
          <w:tcPr>
            <w:tcW w:w="3820" w:type="dxa"/>
            <w:tcBorders>
              <w:top w:val="nil"/>
              <w:left w:val="nil"/>
              <w:bottom w:val="single" w:color="auto" w:sz="4" w:space="0"/>
              <w:right w:val="single" w:color="auto" w:sz="4" w:space="0"/>
            </w:tcBorders>
            <w:noWrap w:val="0"/>
            <w:vAlign w:val="center"/>
          </w:tcPr>
          <w:p>
            <w:pPr>
              <w:widowControl/>
              <w:jc w:val="left"/>
              <w:rPr>
                <w:rFonts w:ascii="宋体" w:cs="宋体"/>
                <w:kern w:val="0"/>
                <w:sz w:val="20"/>
                <w:szCs w:val="20"/>
              </w:rPr>
            </w:pPr>
            <w:r>
              <w:rPr>
                <w:rFonts w:ascii="宋体" w:hAnsi="宋体" w:cs="宋体"/>
                <w:kern w:val="0"/>
                <w:sz w:val="20"/>
                <w:szCs w:val="20"/>
              </w:rPr>
              <w:t xml:space="preserve">  </w:t>
            </w:r>
            <w:r>
              <w:rPr>
                <w:rFonts w:hint="eastAsia" w:ascii="宋体" w:hAnsi="宋体" w:cs="宋体"/>
                <w:kern w:val="0"/>
                <w:sz w:val="20"/>
                <w:szCs w:val="20"/>
              </w:rPr>
              <w:t>部门履行职责而实际完成工作数与计划工作数的比率，用以反映和考核部门履职工作任务目标实现程度。</w:t>
            </w:r>
            <w:r>
              <w:rPr>
                <w:rFonts w:ascii="宋体" w:cs="宋体"/>
                <w:kern w:val="0"/>
                <w:sz w:val="20"/>
                <w:szCs w:val="20"/>
              </w:rPr>
              <w:br w:type="textWrapping"/>
            </w:r>
            <w:r>
              <w:rPr>
                <w:rFonts w:ascii="宋体" w:hAnsi="宋体" w:cs="宋体"/>
                <w:kern w:val="0"/>
                <w:sz w:val="20"/>
                <w:szCs w:val="20"/>
              </w:rPr>
              <w:t xml:space="preserve">  </w:t>
            </w:r>
            <w:r>
              <w:rPr>
                <w:rFonts w:hint="eastAsia" w:ascii="宋体" w:hAnsi="宋体" w:cs="宋体"/>
                <w:kern w:val="0"/>
                <w:sz w:val="20"/>
                <w:szCs w:val="20"/>
              </w:rPr>
              <w:t>实际完成率</w:t>
            </w:r>
            <w:r>
              <w:rPr>
                <w:rFonts w:ascii="宋体" w:hAnsi="宋体" w:cs="宋体"/>
                <w:kern w:val="0"/>
                <w:sz w:val="20"/>
                <w:szCs w:val="20"/>
              </w:rPr>
              <w:t>=</w:t>
            </w:r>
            <w:r>
              <w:rPr>
                <w:rFonts w:hint="eastAsia" w:ascii="宋体" w:hAnsi="宋体" w:cs="宋体"/>
                <w:kern w:val="0"/>
                <w:sz w:val="20"/>
                <w:szCs w:val="20"/>
              </w:rPr>
              <w:t>（实际完成工作数</w:t>
            </w:r>
            <w:r>
              <w:rPr>
                <w:rFonts w:ascii="宋体" w:hAnsi="宋体" w:cs="宋体"/>
                <w:kern w:val="0"/>
                <w:sz w:val="20"/>
                <w:szCs w:val="20"/>
              </w:rPr>
              <w:t>/</w:t>
            </w:r>
            <w:r>
              <w:rPr>
                <w:rFonts w:hint="eastAsia" w:ascii="宋体" w:hAnsi="宋体" w:cs="宋体"/>
                <w:kern w:val="0"/>
                <w:sz w:val="20"/>
                <w:szCs w:val="20"/>
              </w:rPr>
              <w:t>计划工作数）×</w:t>
            </w:r>
            <w:r>
              <w:rPr>
                <w:rFonts w:ascii="宋体" w:hAnsi="宋体" w:cs="宋体"/>
                <w:kern w:val="0"/>
                <w:sz w:val="20"/>
                <w:szCs w:val="20"/>
              </w:rPr>
              <w:t>100%</w:t>
            </w:r>
            <w:r>
              <w:rPr>
                <w:rFonts w:hint="eastAsia" w:ascii="宋体" w:hAnsi="宋体" w:cs="宋体"/>
                <w:kern w:val="0"/>
                <w:sz w:val="20"/>
                <w:szCs w:val="20"/>
              </w:rPr>
              <w:t>。</w:t>
            </w:r>
            <w:r>
              <w:rPr>
                <w:rFonts w:ascii="宋体" w:cs="宋体"/>
                <w:kern w:val="0"/>
                <w:sz w:val="20"/>
                <w:szCs w:val="20"/>
              </w:rPr>
              <w:br w:type="textWrapping"/>
            </w:r>
            <w:r>
              <w:rPr>
                <w:rFonts w:ascii="宋体" w:hAnsi="宋体" w:cs="宋体"/>
                <w:kern w:val="0"/>
                <w:sz w:val="20"/>
                <w:szCs w:val="20"/>
              </w:rPr>
              <w:t xml:space="preserve">  </w:t>
            </w:r>
            <w:r>
              <w:rPr>
                <w:rFonts w:hint="eastAsia" w:ascii="宋体" w:hAnsi="宋体" w:cs="宋体"/>
                <w:kern w:val="0"/>
                <w:sz w:val="20"/>
                <w:szCs w:val="20"/>
              </w:rPr>
              <w:t>实际完成工作数：一定时期（年度或规划期）内部门实际完成工作任务的数量。</w:t>
            </w:r>
            <w:r>
              <w:rPr>
                <w:rFonts w:ascii="宋体" w:cs="宋体"/>
                <w:kern w:val="0"/>
                <w:sz w:val="20"/>
                <w:szCs w:val="20"/>
              </w:rPr>
              <w:br w:type="textWrapping"/>
            </w:r>
            <w:r>
              <w:rPr>
                <w:rFonts w:ascii="宋体" w:hAnsi="宋体" w:cs="宋体"/>
                <w:kern w:val="0"/>
                <w:sz w:val="20"/>
                <w:szCs w:val="20"/>
              </w:rPr>
              <w:t xml:space="preserve">  </w:t>
            </w:r>
            <w:r>
              <w:rPr>
                <w:rFonts w:hint="eastAsia" w:ascii="宋体" w:hAnsi="宋体" w:cs="宋体"/>
                <w:kern w:val="0"/>
                <w:sz w:val="20"/>
                <w:szCs w:val="20"/>
              </w:rPr>
              <w:t>计划工作数：部门整体绩效目标确定的一定时期（年度或规划期）内预计完成工作任务的数量。</w:t>
            </w:r>
          </w:p>
        </w:tc>
        <w:tc>
          <w:tcPr>
            <w:tcW w:w="2500" w:type="dxa"/>
            <w:tcBorders>
              <w:top w:val="nil"/>
              <w:left w:val="nil"/>
              <w:bottom w:val="single" w:color="auto" w:sz="4" w:space="0"/>
              <w:right w:val="single" w:color="auto" w:sz="4" w:space="0"/>
            </w:tcBorders>
            <w:noWrap w:val="0"/>
            <w:vAlign w:val="center"/>
          </w:tcPr>
          <w:p>
            <w:pPr>
              <w:widowControl/>
              <w:jc w:val="left"/>
              <w:rPr>
                <w:rFonts w:ascii="宋体" w:cs="宋体"/>
                <w:kern w:val="0"/>
                <w:sz w:val="24"/>
                <w:szCs w:val="24"/>
              </w:rPr>
            </w:pPr>
            <w:r>
              <w:rPr>
                <w:rFonts w:hint="eastAsia" w:ascii="宋体" w:hAnsi="宋体" w:cs="宋体"/>
                <w:kern w:val="0"/>
                <w:sz w:val="24"/>
                <w:szCs w:val="24"/>
              </w:rPr>
              <w:t>　</w:t>
            </w:r>
          </w:p>
        </w:tc>
        <w:tc>
          <w:tcPr>
            <w:tcW w:w="860" w:type="dxa"/>
            <w:tcBorders>
              <w:top w:val="nil"/>
              <w:left w:val="nil"/>
              <w:bottom w:val="single" w:color="auto" w:sz="4" w:space="0"/>
              <w:right w:val="single" w:color="auto" w:sz="4" w:space="0"/>
            </w:tcBorders>
            <w:noWrap w:val="0"/>
            <w:vAlign w:val="center"/>
          </w:tcPr>
          <w:p>
            <w:pPr>
              <w:widowControl/>
              <w:jc w:val="center"/>
              <w:rPr>
                <w:rFonts w:ascii="宋体" w:cs="宋体"/>
                <w:kern w:val="0"/>
                <w:sz w:val="24"/>
                <w:szCs w:val="24"/>
              </w:rPr>
            </w:pPr>
            <w:r>
              <w:rPr>
                <w:rFonts w:ascii="宋体" w:hAnsi="宋体" w:cs="宋体"/>
                <w:kern w:val="0"/>
                <w:sz w:val="24"/>
                <w:szCs w:val="24"/>
              </w:rPr>
              <w:t>8</w:t>
            </w:r>
          </w:p>
        </w:tc>
      </w:tr>
      <w:tr>
        <w:tblPrEx>
          <w:tblCellMar>
            <w:top w:w="0" w:type="dxa"/>
            <w:left w:w="108" w:type="dxa"/>
            <w:bottom w:w="0" w:type="dxa"/>
            <w:right w:w="108" w:type="dxa"/>
          </w:tblCellMar>
        </w:tblPrEx>
        <w:trPr>
          <w:trHeight w:val="2040" w:hRule="atLeast"/>
        </w:trPr>
        <w:tc>
          <w:tcPr>
            <w:tcW w:w="620" w:type="dxa"/>
            <w:vMerge w:val="continue"/>
            <w:tcBorders>
              <w:top w:val="nil"/>
              <w:left w:val="single" w:color="auto" w:sz="4" w:space="0"/>
              <w:bottom w:val="nil"/>
              <w:right w:val="single" w:color="auto" w:sz="4" w:space="0"/>
            </w:tcBorders>
            <w:noWrap w:val="0"/>
            <w:vAlign w:val="center"/>
          </w:tcPr>
          <w:p>
            <w:pPr>
              <w:widowControl/>
              <w:jc w:val="left"/>
              <w:rPr>
                <w:rFonts w:ascii="宋体" w:cs="宋体"/>
                <w:kern w:val="0"/>
                <w:sz w:val="20"/>
                <w:szCs w:val="20"/>
              </w:rPr>
            </w:pPr>
          </w:p>
        </w:tc>
        <w:tc>
          <w:tcPr>
            <w:tcW w:w="62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cs="宋体"/>
                <w:kern w:val="0"/>
                <w:sz w:val="20"/>
                <w:szCs w:val="20"/>
              </w:rPr>
            </w:pPr>
          </w:p>
        </w:tc>
        <w:tc>
          <w:tcPr>
            <w:tcW w:w="880" w:type="dxa"/>
            <w:tcBorders>
              <w:top w:val="nil"/>
              <w:left w:val="nil"/>
              <w:bottom w:val="single" w:color="auto" w:sz="4" w:space="0"/>
              <w:right w:val="single" w:color="auto" w:sz="4" w:space="0"/>
            </w:tcBorders>
            <w:noWrap w:val="0"/>
            <w:vAlign w:val="center"/>
          </w:tcPr>
          <w:p>
            <w:pPr>
              <w:widowControl/>
              <w:jc w:val="left"/>
              <w:rPr>
                <w:rFonts w:ascii="宋体" w:cs="宋体"/>
                <w:kern w:val="0"/>
                <w:sz w:val="20"/>
                <w:szCs w:val="20"/>
              </w:rPr>
            </w:pPr>
            <w:r>
              <w:rPr>
                <w:rFonts w:hint="eastAsia" w:ascii="宋体" w:hAnsi="宋体" w:cs="宋体"/>
                <w:kern w:val="0"/>
                <w:sz w:val="20"/>
                <w:szCs w:val="20"/>
              </w:rPr>
              <w:t>完成及时率</w:t>
            </w:r>
          </w:p>
        </w:tc>
        <w:tc>
          <w:tcPr>
            <w:tcW w:w="42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cs="宋体"/>
                <w:kern w:val="0"/>
                <w:sz w:val="20"/>
                <w:szCs w:val="20"/>
              </w:rPr>
            </w:pPr>
          </w:p>
        </w:tc>
        <w:tc>
          <w:tcPr>
            <w:tcW w:w="3820" w:type="dxa"/>
            <w:tcBorders>
              <w:top w:val="nil"/>
              <w:left w:val="nil"/>
              <w:bottom w:val="single" w:color="auto" w:sz="4" w:space="0"/>
              <w:right w:val="single" w:color="auto" w:sz="4" w:space="0"/>
            </w:tcBorders>
            <w:noWrap w:val="0"/>
            <w:vAlign w:val="center"/>
          </w:tcPr>
          <w:p>
            <w:pPr>
              <w:widowControl/>
              <w:jc w:val="left"/>
              <w:rPr>
                <w:rFonts w:ascii="宋体" w:cs="宋体"/>
                <w:kern w:val="0"/>
                <w:sz w:val="20"/>
                <w:szCs w:val="20"/>
              </w:rPr>
            </w:pPr>
            <w:r>
              <w:rPr>
                <w:rFonts w:ascii="宋体" w:hAnsi="宋体" w:cs="宋体"/>
                <w:kern w:val="0"/>
                <w:sz w:val="20"/>
                <w:szCs w:val="20"/>
              </w:rPr>
              <w:t xml:space="preserve">  </w:t>
            </w:r>
            <w:r>
              <w:rPr>
                <w:rFonts w:hint="eastAsia" w:ascii="宋体" w:hAnsi="宋体" w:cs="宋体"/>
                <w:kern w:val="0"/>
                <w:sz w:val="20"/>
                <w:szCs w:val="20"/>
              </w:rPr>
              <w:t>部门在规定时限内及时完成的实际工作数与计划工作数的比率，用以反映和考核部门履职时效目标的实现程度。</w:t>
            </w:r>
            <w:r>
              <w:rPr>
                <w:rFonts w:ascii="宋体" w:hAnsi="宋体" w:cs="宋体"/>
                <w:kern w:val="0"/>
                <w:sz w:val="20"/>
                <w:szCs w:val="20"/>
              </w:rPr>
              <w:t xml:space="preserve">  </w:t>
            </w:r>
            <w:r>
              <w:rPr>
                <w:rFonts w:hint="eastAsia" w:ascii="宋体" w:hAnsi="宋体" w:cs="宋体"/>
                <w:kern w:val="0"/>
                <w:sz w:val="20"/>
                <w:szCs w:val="20"/>
              </w:rPr>
              <w:t>完成及时率</w:t>
            </w:r>
            <w:r>
              <w:rPr>
                <w:rFonts w:ascii="宋体" w:hAnsi="宋体" w:cs="宋体"/>
                <w:kern w:val="0"/>
                <w:sz w:val="20"/>
                <w:szCs w:val="20"/>
              </w:rPr>
              <w:t>=</w:t>
            </w:r>
            <w:r>
              <w:rPr>
                <w:rFonts w:hint="eastAsia" w:ascii="宋体" w:hAnsi="宋体" w:cs="宋体"/>
                <w:kern w:val="0"/>
                <w:sz w:val="20"/>
                <w:szCs w:val="20"/>
              </w:rPr>
              <w:t>（及时完成实际工作数</w:t>
            </w:r>
            <w:r>
              <w:rPr>
                <w:rFonts w:ascii="宋体" w:hAnsi="宋体" w:cs="宋体"/>
                <w:kern w:val="0"/>
                <w:sz w:val="20"/>
                <w:szCs w:val="20"/>
              </w:rPr>
              <w:t>/</w:t>
            </w:r>
            <w:r>
              <w:rPr>
                <w:rFonts w:hint="eastAsia" w:ascii="宋体" w:hAnsi="宋体" w:cs="宋体"/>
                <w:kern w:val="0"/>
                <w:sz w:val="20"/>
                <w:szCs w:val="20"/>
              </w:rPr>
              <w:t>计划工作数）×</w:t>
            </w:r>
            <w:r>
              <w:rPr>
                <w:rFonts w:ascii="宋体" w:hAnsi="宋体" w:cs="宋体"/>
                <w:kern w:val="0"/>
                <w:sz w:val="20"/>
                <w:szCs w:val="20"/>
              </w:rPr>
              <w:t>100%</w:t>
            </w:r>
            <w:r>
              <w:rPr>
                <w:rFonts w:hint="eastAsia" w:ascii="宋体" w:hAnsi="宋体" w:cs="宋体"/>
                <w:kern w:val="0"/>
                <w:sz w:val="20"/>
                <w:szCs w:val="20"/>
              </w:rPr>
              <w:t>。</w:t>
            </w:r>
            <w:r>
              <w:rPr>
                <w:rFonts w:ascii="宋体" w:hAnsi="宋体" w:cs="宋体"/>
                <w:kern w:val="0"/>
                <w:sz w:val="20"/>
                <w:szCs w:val="20"/>
              </w:rPr>
              <w:t xml:space="preserve">  </w:t>
            </w:r>
            <w:r>
              <w:rPr>
                <w:rFonts w:hint="eastAsia" w:ascii="宋体" w:hAnsi="宋体" w:cs="宋体"/>
                <w:kern w:val="0"/>
                <w:sz w:val="20"/>
                <w:szCs w:val="20"/>
              </w:rPr>
              <w:t>及时完成实际工作数：部门按照整体绩效目标确定的时限实际完成的工作任务数量。</w:t>
            </w:r>
          </w:p>
        </w:tc>
        <w:tc>
          <w:tcPr>
            <w:tcW w:w="2500" w:type="dxa"/>
            <w:tcBorders>
              <w:top w:val="nil"/>
              <w:left w:val="nil"/>
              <w:bottom w:val="single" w:color="auto" w:sz="4" w:space="0"/>
              <w:right w:val="single" w:color="auto" w:sz="4" w:space="0"/>
            </w:tcBorders>
            <w:noWrap w:val="0"/>
            <w:vAlign w:val="center"/>
          </w:tcPr>
          <w:p>
            <w:pPr>
              <w:widowControl/>
              <w:jc w:val="center"/>
              <w:rPr>
                <w:rFonts w:ascii="宋体" w:cs="宋体"/>
                <w:kern w:val="0"/>
                <w:sz w:val="24"/>
                <w:szCs w:val="24"/>
              </w:rPr>
            </w:pPr>
            <w:r>
              <w:rPr>
                <w:rFonts w:hint="eastAsia" w:ascii="宋体" w:hAnsi="宋体" w:cs="宋体"/>
                <w:kern w:val="0"/>
                <w:sz w:val="24"/>
                <w:szCs w:val="24"/>
              </w:rPr>
              <w:t>　</w:t>
            </w:r>
          </w:p>
        </w:tc>
        <w:tc>
          <w:tcPr>
            <w:tcW w:w="860" w:type="dxa"/>
            <w:tcBorders>
              <w:top w:val="nil"/>
              <w:left w:val="nil"/>
              <w:bottom w:val="single" w:color="auto" w:sz="4" w:space="0"/>
              <w:right w:val="single" w:color="auto" w:sz="4" w:space="0"/>
            </w:tcBorders>
            <w:noWrap w:val="0"/>
            <w:vAlign w:val="center"/>
          </w:tcPr>
          <w:p>
            <w:pPr>
              <w:widowControl/>
              <w:jc w:val="center"/>
              <w:rPr>
                <w:rFonts w:ascii="宋体" w:cs="宋体"/>
                <w:kern w:val="0"/>
                <w:sz w:val="24"/>
                <w:szCs w:val="24"/>
              </w:rPr>
            </w:pPr>
            <w:r>
              <w:rPr>
                <w:rFonts w:ascii="宋体" w:hAnsi="宋体" w:cs="宋体"/>
                <w:kern w:val="0"/>
                <w:sz w:val="24"/>
                <w:szCs w:val="24"/>
              </w:rPr>
              <w:t>8</w:t>
            </w:r>
          </w:p>
        </w:tc>
      </w:tr>
      <w:tr>
        <w:tblPrEx>
          <w:tblCellMar>
            <w:top w:w="0" w:type="dxa"/>
            <w:left w:w="108" w:type="dxa"/>
            <w:bottom w:w="0" w:type="dxa"/>
            <w:right w:w="108" w:type="dxa"/>
          </w:tblCellMar>
        </w:tblPrEx>
        <w:trPr>
          <w:trHeight w:val="2370" w:hRule="atLeast"/>
        </w:trPr>
        <w:tc>
          <w:tcPr>
            <w:tcW w:w="620" w:type="dxa"/>
            <w:vMerge w:val="continue"/>
            <w:tcBorders>
              <w:top w:val="nil"/>
              <w:left w:val="single" w:color="auto" w:sz="4" w:space="0"/>
              <w:bottom w:val="nil"/>
              <w:right w:val="single" w:color="auto" w:sz="4" w:space="0"/>
            </w:tcBorders>
            <w:noWrap w:val="0"/>
            <w:vAlign w:val="center"/>
          </w:tcPr>
          <w:p>
            <w:pPr>
              <w:widowControl/>
              <w:jc w:val="left"/>
              <w:rPr>
                <w:rFonts w:ascii="宋体" w:cs="宋体"/>
                <w:kern w:val="0"/>
                <w:sz w:val="20"/>
                <w:szCs w:val="20"/>
              </w:rPr>
            </w:pPr>
          </w:p>
        </w:tc>
        <w:tc>
          <w:tcPr>
            <w:tcW w:w="62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cs="宋体"/>
                <w:kern w:val="0"/>
                <w:sz w:val="20"/>
                <w:szCs w:val="20"/>
              </w:rPr>
            </w:pPr>
          </w:p>
        </w:tc>
        <w:tc>
          <w:tcPr>
            <w:tcW w:w="880" w:type="dxa"/>
            <w:tcBorders>
              <w:top w:val="nil"/>
              <w:left w:val="nil"/>
              <w:bottom w:val="single" w:color="auto" w:sz="4" w:space="0"/>
              <w:right w:val="single" w:color="auto" w:sz="4" w:space="0"/>
            </w:tcBorders>
            <w:noWrap w:val="0"/>
            <w:vAlign w:val="center"/>
          </w:tcPr>
          <w:p>
            <w:pPr>
              <w:widowControl/>
              <w:jc w:val="left"/>
              <w:rPr>
                <w:rFonts w:ascii="宋体" w:cs="宋体"/>
                <w:kern w:val="0"/>
                <w:sz w:val="20"/>
                <w:szCs w:val="20"/>
              </w:rPr>
            </w:pPr>
            <w:r>
              <w:rPr>
                <w:rFonts w:hint="eastAsia" w:ascii="宋体" w:hAnsi="宋体" w:cs="宋体"/>
                <w:kern w:val="0"/>
                <w:sz w:val="20"/>
                <w:szCs w:val="20"/>
              </w:rPr>
              <w:t>质量达标率</w:t>
            </w:r>
          </w:p>
        </w:tc>
        <w:tc>
          <w:tcPr>
            <w:tcW w:w="42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cs="宋体"/>
                <w:kern w:val="0"/>
                <w:sz w:val="20"/>
                <w:szCs w:val="20"/>
              </w:rPr>
            </w:pPr>
          </w:p>
        </w:tc>
        <w:tc>
          <w:tcPr>
            <w:tcW w:w="3820" w:type="dxa"/>
            <w:tcBorders>
              <w:top w:val="nil"/>
              <w:left w:val="nil"/>
              <w:bottom w:val="single" w:color="auto" w:sz="4" w:space="0"/>
              <w:right w:val="single" w:color="auto" w:sz="4" w:space="0"/>
            </w:tcBorders>
            <w:noWrap w:val="0"/>
            <w:vAlign w:val="center"/>
          </w:tcPr>
          <w:p>
            <w:pPr>
              <w:widowControl/>
              <w:jc w:val="left"/>
              <w:rPr>
                <w:rFonts w:ascii="宋体" w:cs="宋体"/>
                <w:kern w:val="0"/>
                <w:sz w:val="20"/>
                <w:szCs w:val="20"/>
              </w:rPr>
            </w:pPr>
            <w:r>
              <w:rPr>
                <w:rFonts w:ascii="宋体" w:hAnsi="宋体" w:cs="宋体"/>
                <w:kern w:val="0"/>
                <w:sz w:val="20"/>
                <w:szCs w:val="20"/>
              </w:rPr>
              <w:t xml:space="preserve">  </w:t>
            </w:r>
            <w:r>
              <w:rPr>
                <w:rFonts w:hint="eastAsia" w:ascii="宋体" w:hAnsi="宋体" w:cs="宋体"/>
                <w:kern w:val="0"/>
                <w:sz w:val="20"/>
                <w:szCs w:val="20"/>
              </w:rPr>
              <w:t>达到质量标准（绩效标准值）的实际工作数与计划工作数的比率，用以反映和考核部门履职质量目标的实现程度。</w:t>
            </w:r>
            <w:r>
              <w:rPr>
                <w:rFonts w:ascii="宋体" w:cs="宋体"/>
                <w:kern w:val="0"/>
                <w:sz w:val="20"/>
                <w:szCs w:val="20"/>
              </w:rPr>
              <w:br w:type="textWrapping"/>
            </w:r>
            <w:r>
              <w:rPr>
                <w:rFonts w:ascii="宋体" w:hAnsi="宋体" w:cs="宋体"/>
                <w:kern w:val="0"/>
                <w:sz w:val="20"/>
                <w:szCs w:val="20"/>
              </w:rPr>
              <w:t xml:space="preserve">  </w:t>
            </w:r>
            <w:r>
              <w:rPr>
                <w:rFonts w:hint="eastAsia" w:ascii="宋体" w:hAnsi="宋体" w:cs="宋体"/>
                <w:kern w:val="0"/>
                <w:sz w:val="20"/>
                <w:szCs w:val="20"/>
              </w:rPr>
              <w:t>质量达标率</w:t>
            </w:r>
            <w:r>
              <w:rPr>
                <w:rFonts w:ascii="宋体" w:hAnsi="宋体" w:cs="宋体"/>
                <w:kern w:val="0"/>
                <w:sz w:val="20"/>
                <w:szCs w:val="20"/>
              </w:rPr>
              <w:t>=</w:t>
            </w:r>
            <w:r>
              <w:rPr>
                <w:rFonts w:hint="eastAsia" w:ascii="宋体" w:hAnsi="宋体" w:cs="宋体"/>
                <w:kern w:val="0"/>
                <w:sz w:val="20"/>
                <w:szCs w:val="20"/>
              </w:rPr>
              <w:t>（质量达标实际工作数</w:t>
            </w:r>
            <w:r>
              <w:rPr>
                <w:rFonts w:ascii="宋体" w:hAnsi="宋体" w:cs="宋体"/>
                <w:kern w:val="0"/>
                <w:sz w:val="20"/>
                <w:szCs w:val="20"/>
              </w:rPr>
              <w:t>/</w:t>
            </w:r>
            <w:r>
              <w:rPr>
                <w:rFonts w:hint="eastAsia" w:ascii="宋体" w:hAnsi="宋体" w:cs="宋体"/>
                <w:kern w:val="0"/>
                <w:sz w:val="20"/>
                <w:szCs w:val="20"/>
              </w:rPr>
              <w:t>计划工作数）×</w:t>
            </w:r>
            <w:r>
              <w:rPr>
                <w:rFonts w:ascii="宋体" w:hAnsi="宋体" w:cs="宋体"/>
                <w:kern w:val="0"/>
                <w:sz w:val="20"/>
                <w:szCs w:val="20"/>
              </w:rPr>
              <w:t>100%</w:t>
            </w:r>
            <w:r>
              <w:rPr>
                <w:rFonts w:hint="eastAsia" w:ascii="宋体" w:hAnsi="宋体" w:cs="宋体"/>
                <w:kern w:val="0"/>
                <w:sz w:val="20"/>
                <w:szCs w:val="20"/>
              </w:rPr>
              <w:t>。</w:t>
            </w:r>
            <w:r>
              <w:rPr>
                <w:rFonts w:ascii="宋体" w:cs="宋体"/>
                <w:kern w:val="0"/>
                <w:sz w:val="20"/>
                <w:szCs w:val="20"/>
              </w:rPr>
              <w:br w:type="textWrapping"/>
            </w:r>
            <w:r>
              <w:rPr>
                <w:rFonts w:ascii="宋体" w:hAnsi="宋体" w:cs="宋体"/>
                <w:kern w:val="0"/>
                <w:sz w:val="20"/>
                <w:szCs w:val="20"/>
              </w:rPr>
              <w:t xml:space="preserve">  </w:t>
            </w:r>
            <w:r>
              <w:rPr>
                <w:rFonts w:hint="eastAsia" w:ascii="宋体" w:hAnsi="宋体" w:cs="宋体"/>
                <w:kern w:val="0"/>
                <w:sz w:val="20"/>
                <w:szCs w:val="20"/>
              </w:rPr>
              <w:t>质量达标实际工作数</w:t>
            </w:r>
            <w:r>
              <w:rPr>
                <w:rFonts w:ascii="宋体" w:hAnsi="宋体" w:cs="宋体"/>
                <w:kern w:val="0"/>
                <w:sz w:val="20"/>
                <w:szCs w:val="20"/>
              </w:rPr>
              <w:t>:</w:t>
            </w:r>
            <w:r>
              <w:rPr>
                <w:rFonts w:hint="eastAsia" w:ascii="宋体" w:hAnsi="宋体" w:cs="宋体"/>
                <w:kern w:val="0"/>
                <w:sz w:val="20"/>
                <w:szCs w:val="20"/>
              </w:rPr>
              <w:t>一定时期（年度或规划期）内部门实际完成工作数中达到部门绩效目标要求（绩效标准值）的工作任务数量。</w:t>
            </w:r>
          </w:p>
        </w:tc>
        <w:tc>
          <w:tcPr>
            <w:tcW w:w="2500" w:type="dxa"/>
            <w:tcBorders>
              <w:top w:val="nil"/>
              <w:left w:val="nil"/>
              <w:bottom w:val="single" w:color="auto" w:sz="4" w:space="0"/>
              <w:right w:val="single" w:color="auto" w:sz="4" w:space="0"/>
            </w:tcBorders>
            <w:noWrap w:val="0"/>
            <w:vAlign w:val="center"/>
          </w:tcPr>
          <w:p>
            <w:pPr>
              <w:widowControl/>
              <w:jc w:val="center"/>
              <w:rPr>
                <w:rFonts w:ascii="宋体" w:cs="宋体"/>
                <w:kern w:val="0"/>
                <w:sz w:val="24"/>
                <w:szCs w:val="24"/>
              </w:rPr>
            </w:pPr>
            <w:r>
              <w:rPr>
                <w:rFonts w:hint="eastAsia" w:ascii="宋体" w:hAnsi="宋体" w:cs="宋体"/>
                <w:kern w:val="0"/>
                <w:sz w:val="24"/>
                <w:szCs w:val="24"/>
              </w:rPr>
              <w:t>　</w:t>
            </w:r>
          </w:p>
        </w:tc>
        <w:tc>
          <w:tcPr>
            <w:tcW w:w="860" w:type="dxa"/>
            <w:tcBorders>
              <w:top w:val="nil"/>
              <w:left w:val="nil"/>
              <w:bottom w:val="single" w:color="auto" w:sz="4" w:space="0"/>
              <w:right w:val="single" w:color="auto" w:sz="4" w:space="0"/>
            </w:tcBorders>
            <w:noWrap w:val="0"/>
            <w:vAlign w:val="center"/>
          </w:tcPr>
          <w:p>
            <w:pPr>
              <w:widowControl/>
              <w:jc w:val="center"/>
              <w:rPr>
                <w:rFonts w:ascii="宋体" w:cs="宋体"/>
                <w:kern w:val="0"/>
                <w:sz w:val="24"/>
                <w:szCs w:val="24"/>
              </w:rPr>
            </w:pPr>
            <w:r>
              <w:rPr>
                <w:rFonts w:ascii="宋体" w:hAnsi="宋体" w:cs="宋体"/>
                <w:kern w:val="0"/>
                <w:sz w:val="24"/>
                <w:szCs w:val="24"/>
              </w:rPr>
              <w:t>8</w:t>
            </w:r>
          </w:p>
        </w:tc>
      </w:tr>
      <w:tr>
        <w:tblPrEx>
          <w:tblCellMar>
            <w:top w:w="0" w:type="dxa"/>
            <w:left w:w="108" w:type="dxa"/>
            <w:bottom w:w="0" w:type="dxa"/>
            <w:right w:w="108" w:type="dxa"/>
          </w:tblCellMar>
        </w:tblPrEx>
        <w:trPr>
          <w:trHeight w:val="2040" w:hRule="atLeast"/>
        </w:trPr>
        <w:tc>
          <w:tcPr>
            <w:tcW w:w="620" w:type="dxa"/>
            <w:vMerge w:val="continue"/>
            <w:tcBorders>
              <w:top w:val="nil"/>
              <w:left w:val="single" w:color="auto" w:sz="4" w:space="0"/>
              <w:bottom w:val="nil"/>
              <w:right w:val="single" w:color="auto" w:sz="4" w:space="0"/>
            </w:tcBorders>
            <w:noWrap w:val="0"/>
            <w:vAlign w:val="center"/>
          </w:tcPr>
          <w:p>
            <w:pPr>
              <w:widowControl/>
              <w:jc w:val="left"/>
              <w:rPr>
                <w:rFonts w:ascii="宋体" w:cs="宋体"/>
                <w:kern w:val="0"/>
                <w:sz w:val="20"/>
                <w:szCs w:val="20"/>
              </w:rPr>
            </w:pPr>
          </w:p>
        </w:tc>
        <w:tc>
          <w:tcPr>
            <w:tcW w:w="62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cs="宋体"/>
                <w:kern w:val="0"/>
                <w:sz w:val="20"/>
                <w:szCs w:val="20"/>
              </w:rPr>
            </w:pPr>
          </w:p>
        </w:tc>
        <w:tc>
          <w:tcPr>
            <w:tcW w:w="880" w:type="dxa"/>
            <w:tcBorders>
              <w:top w:val="nil"/>
              <w:left w:val="nil"/>
              <w:bottom w:val="single" w:color="auto" w:sz="4" w:space="0"/>
              <w:right w:val="single" w:color="auto" w:sz="4" w:space="0"/>
            </w:tcBorders>
            <w:noWrap w:val="0"/>
            <w:vAlign w:val="center"/>
          </w:tcPr>
          <w:p>
            <w:pPr>
              <w:widowControl/>
              <w:jc w:val="left"/>
              <w:rPr>
                <w:rFonts w:ascii="宋体" w:cs="宋体"/>
                <w:kern w:val="0"/>
                <w:sz w:val="20"/>
                <w:szCs w:val="20"/>
              </w:rPr>
            </w:pPr>
            <w:r>
              <w:rPr>
                <w:rFonts w:hint="eastAsia" w:ascii="宋体" w:hAnsi="宋体" w:cs="宋体"/>
                <w:kern w:val="0"/>
                <w:sz w:val="20"/>
                <w:szCs w:val="20"/>
              </w:rPr>
              <w:t>重点工作办结率</w:t>
            </w:r>
          </w:p>
        </w:tc>
        <w:tc>
          <w:tcPr>
            <w:tcW w:w="420" w:type="dxa"/>
            <w:tcBorders>
              <w:top w:val="nil"/>
              <w:left w:val="nil"/>
              <w:bottom w:val="single" w:color="auto" w:sz="4" w:space="0"/>
              <w:right w:val="single" w:color="auto" w:sz="4" w:space="0"/>
            </w:tcBorders>
            <w:noWrap w:val="0"/>
            <w:vAlign w:val="center"/>
          </w:tcPr>
          <w:p>
            <w:pPr>
              <w:widowControl/>
              <w:jc w:val="center"/>
              <w:rPr>
                <w:rFonts w:ascii="宋体" w:cs="宋体"/>
                <w:kern w:val="0"/>
                <w:sz w:val="20"/>
                <w:szCs w:val="20"/>
              </w:rPr>
            </w:pPr>
            <w:r>
              <w:rPr>
                <w:rFonts w:ascii="宋体" w:hAnsi="宋体" w:cs="宋体"/>
                <w:kern w:val="0"/>
                <w:sz w:val="20"/>
                <w:szCs w:val="20"/>
              </w:rPr>
              <w:t>6</w:t>
            </w:r>
          </w:p>
        </w:tc>
        <w:tc>
          <w:tcPr>
            <w:tcW w:w="3820" w:type="dxa"/>
            <w:tcBorders>
              <w:top w:val="nil"/>
              <w:left w:val="nil"/>
              <w:bottom w:val="single" w:color="auto" w:sz="4" w:space="0"/>
              <w:right w:val="single" w:color="auto" w:sz="4" w:space="0"/>
            </w:tcBorders>
            <w:noWrap w:val="0"/>
            <w:vAlign w:val="center"/>
          </w:tcPr>
          <w:p>
            <w:pPr>
              <w:widowControl/>
              <w:jc w:val="left"/>
              <w:rPr>
                <w:rFonts w:ascii="宋体" w:cs="宋体"/>
                <w:kern w:val="0"/>
                <w:sz w:val="20"/>
                <w:szCs w:val="20"/>
              </w:rPr>
            </w:pPr>
            <w:r>
              <w:rPr>
                <w:rFonts w:ascii="宋体" w:hAnsi="宋体" w:cs="宋体"/>
                <w:kern w:val="0"/>
                <w:sz w:val="20"/>
                <w:szCs w:val="20"/>
              </w:rPr>
              <w:t xml:space="preserve">  </w:t>
            </w:r>
            <w:r>
              <w:rPr>
                <w:rFonts w:hint="eastAsia" w:ascii="宋体" w:hAnsi="宋体" w:cs="宋体"/>
                <w:kern w:val="0"/>
                <w:sz w:val="20"/>
                <w:szCs w:val="20"/>
              </w:rPr>
              <w:t>部门年度重点工作实际完成数与交办或下达数的比率，用以反映部门对重点工作的办理落实程度。</w:t>
            </w:r>
            <w:r>
              <w:rPr>
                <w:rFonts w:ascii="宋体" w:cs="宋体"/>
                <w:kern w:val="0"/>
                <w:sz w:val="20"/>
                <w:szCs w:val="20"/>
              </w:rPr>
              <w:br w:type="textWrapping"/>
            </w:r>
            <w:r>
              <w:rPr>
                <w:rFonts w:ascii="宋体" w:hAnsi="宋体" w:cs="宋体"/>
                <w:kern w:val="0"/>
                <w:sz w:val="20"/>
                <w:szCs w:val="20"/>
              </w:rPr>
              <w:t xml:space="preserve">  </w:t>
            </w:r>
            <w:r>
              <w:rPr>
                <w:rFonts w:hint="eastAsia" w:ascii="宋体" w:hAnsi="宋体" w:cs="宋体"/>
                <w:kern w:val="0"/>
                <w:sz w:val="20"/>
                <w:szCs w:val="20"/>
              </w:rPr>
              <w:t>重点工作办结率</w:t>
            </w:r>
            <w:r>
              <w:rPr>
                <w:rFonts w:ascii="宋体" w:hAnsi="宋体" w:cs="宋体"/>
                <w:kern w:val="0"/>
                <w:sz w:val="20"/>
                <w:szCs w:val="20"/>
              </w:rPr>
              <w:t>=</w:t>
            </w:r>
            <w:r>
              <w:rPr>
                <w:rFonts w:hint="eastAsia" w:ascii="宋体" w:hAnsi="宋体" w:cs="宋体"/>
                <w:kern w:val="0"/>
                <w:sz w:val="20"/>
                <w:szCs w:val="20"/>
              </w:rPr>
              <w:t>（重点工作实际完成数</w:t>
            </w:r>
            <w:r>
              <w:rPr>
                <w:rFonts w:ascii="宋体" w:hAnsi="宋体" w:cs="宋体"/>
                <w:kern w:val="0"/>
                <w:sz w:val="20"/>
                <w:szCs w:val="20"/>
              </w:rPr>
              <w:t>/</w:t>
            </w:r>
            <w:r>
              <w:rPr>
                <w:rFonts w:hint="eastAsia" w:ascii="宋体" w:hAnsi="宋体" w:cs="宋体"/>
                <w:kern w:val="0"/>
                <w:sz w:val="20"/>
                <w:szCs w:val="20"/>
              </w:rPr>
              <w:t>交办或下达数）×</w:t>
            </w:r>
            <w:r>
              <w:rPr>
                <w:rFonts w:ascii="宋体" w:hAnsi="宋体" w:cs="宋体"/>
                <w:kern w:val="0"/>
                <w:sz w:val="20"/>
                <w:szCs w:val="20"/>
              </w:rPr>
              <w:t>100%</w:t>
            </w:r>
            <w:r>
              <w:rPr>
                <w:rFonts w:hint="eastAsia" w:ascii="宋体" w:hAnsi="宋体" w:cs="宋体"/>
                <w:kern w:val="0"/>
                <w:sz w:val="20"/>
                <w:szCs w:val="20"/>
              </w:rPr>
              <w:t>。</w:t>
            </w:r>
            <w:r>
              <w:rPr>
                <w:rFonts w:ascii="宋体" w:cs="宋体"/>
                <w:kern w:val="0"/>
                <w:sz w:val="20"/>
                <w:szCs w:val="20"/>
              </w:rPr>
              <w:br w:type="textWrapping"/>
            </w:r>
            <w:r>
              <w:rPr>
                <w:rFonts w:ascii="宋体" w:hAnsi="宋体" w:cs="宋体"/>
                <w:kern w:val="0"/>
                <w:sz w:val="20"/>
                <w:szCs w:val="20"/>
              </w:rPr>
              <w:t xml:space="preserve">  </w:t>
            </w:r>
            <w:r>
              <w:rPr>
                <w:rFonts w:hint="eastAsia" w:ascii="宋体" w:hAnsi="宋体" w:cs="宋体"/>
                <w:kern w:val="0"/>
                <w:sz w:val="20"/>
                <w:szCs w:val="20"/>
              </w:rPr>
              <w:t>重点工作是指党委、政府、人大、相关部门交办或下达的工作任务。</w:t>
            </w:r>
          </w:p>
        </w:tc>
        <w:tc>
          <w:tcPr>
            <w:tcW w:w="2500" w:type="dxa"/>
            <w:tcBorders>
              <w:top w:val="nil"/>
              <w:left w:val="nil"/>
              <w:bottom w:val="single" w:color="auto" w:sz="4" w:space="0"/>
              <w:right w:val="single" w:color="auto" w:sz="4" w:space="0"/>
            </w:tcBorders>
            <w:noWrap w:val="0"/>
            <w:vAlign w:val="center"/>
          </w:tcPr>
          <w:p>
            <w:pPr>
              <w:widowControl/>
              <w:jc w:val="center"/>
              <w:rPr>
                <w:rFonts w:ascii="宋体" w:cs="宋体"/>
                <w:kern w:val="0"/>
                <w:sz w:val="24"/>
                <w:szCs w:val="24"/>
              </w:rPr>
            </w:pPr>
            <w:r>
              <w:rPr>
                <w:rFonts w:hint="eastAsia" w:ascii="宋体" w:hAnsi="宋体" w:cs="宋体"/>
                <w:kern w:val="0"/>
                <w:sz w:val="24"/>
                <w:szCs w:val="24"/>
              </w:rPr>
              <w:t>　</w:t>
            </w:r>
          </w:p>
        </w:tc>
        <w:tc>
          <w:tcPr>
            <w:tcW w:w="860" w:type="dxa"/>
            <w:tcBorders>
              <w:top w:val="nil"/>
              <w:left w:val="nil"/>
              <w:bottom w:val="single" w:color="auto" w:sz="4" w:space="0"/>
              <w:right w:val="single" w:color="auto" w:sz="4" w:space="0"/>
            </w:tcBorders>
            <w:noWrap w:val="0"/>
            <w:vAlign w:val="center"/>
          </w:tcPr>
          <w:p>
            <w:pPr>
              <w:widowControl/>
              <w:jc w:val="center"/>
              <w:rPr>
                <w:rFonts w:ascii="宋体" w:cs="宋体"/>
                <w:kern w:val="0"/>
                <w:sz w:val="24"/>
                <w:szCs w:val="24"/>
              </w:rPr>
            </w:pPr>
            <w:r>
              <w:rPr>
                <w:rFonts w:ascii="宋体" w:hAnsi="宋体" w:cs="宋体"/>
                <w:kern w:val="0"/>
                <w:sz w:val="24"/>
                <w:szCs w:val="24"/>
              </w:rPr>
              <w:t>6</w:t>
            </w:r>
          </w:p>
        </w:tc>
      </w:tr>
      <w:tr>
        <w:tblPrEx>
          <w:tblCellMar>
            <w:top w:w="0" w:type="dxa"/>
            <w:left w:w="108" w:type="dxa"/>
            <w:bottom w:w="0" w:type="dxa"/>
            <w:right w:w="108" w:type="dxa"/>
          </w:tblCellMar>
        </w:tblPrEx>
        <w:trPr>
          <w:trHeight w:val="1680" w:hRule="atLeast"/>
        </w:trPr>
        <w:tc>
          <w:tcPr>
            <w:tcW w:w="620" w:type="dxa"/>
            <w:vMerge w:val="restart"/>
            <w:tcBorders>
              <w:top w:val="single" w:color="auto" w:sz="4" w:space="0"/>
              <w:left w:val="single" w:color="auto" w:sz="4" w:space="0"/>
              <w:bottom w:val="single" w:color="000000" w:sz="4" w:space="0"/>
              <w:right w:val="single" w:color="auto" w:sz="4" w:space="0"/>
            </w:tcBorders>
            <w:noWrap w:val="0"/>
            <w:vAlign w:val="center"/>
          </w:tcPr>
          <w:p>
            <w:pPr>
              <w:widowControl/>
              <w:jc w:val="center"/>
              <w:rPr>
                <w:rFonts w:ascii="宋体" w:cs="宋体"/>
                <w:kern w:val="0"/>
                <w:sz w:val="20"/>
                <w:szCs w:val="20"/>
              </w:rPr>
            </w:pPr>
            <w:r>
              <w:rPr>
                <w:rFonts w:hint="eastAsia" w:ascii="宋体" w:hAnsi="宋体" w:cs="宋体"/>
                <w:kern w:val="0"/>
                <w:sz w:val="20"/>
                <w:szCs w:val="20"/>
              </w:rPr>
              <w:t>效</w:t>
            </w:r>
            <w:r>
              <w:rPr>
                <w:rFonts w:ascii="宋体" w:hAnsi="宋体" w:cs="宋体"/>
                <w:kern w:val="0"/>
                <w:sz w:val="20"/>
                <w:szCs w:val="20"/>
              </w:rPr>
              <w:t xml:space="preserve">     </w:t>
            </w:r>
            <w:r>
              <w:rPr>
                <w:rFonts w:hint="eastAsia" w:ascii="宋体" w:hAnsi="宋体" w:cs="宋体"/>
                <w:kern w:val="0"/>
                <w:sz w:val="20"/>
                <w:szCs w:val="20"/>
              </w:rPr>
              <w:t>果</w:t>
            </w:r>
          </w:p>
        </w:tc>
        <w:tc>
          <w:tcPr>
            <w:tcW w:w="620"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ascii="宋体" w:cs="宋体"/>
                <w:kern w:val="0"/>
                <w:sz w:val="20"/>
                <w:szCs w:val="20"/>
              </w:rPr>
            </w:pPr>
            <w:r>
              <w:rPr>
                <w:rFonts w:hint="eastAsia" w:ascii="宋体" w:hAnsi="宋体" w:cs="宋体"/>
                <w:kern w:val="0"/>
                <w:sz w:val="20"/>
                <w:szCs w:val="20"/>
              </w:rPr>
              <w:t>履职效益</w:t>
            </w:r>
          </w:p>
        </w:tc>
        <w:tc>
          <w:tcPr>
            <w:tcW w:w="880" w:type="dxa"/>
            <w:tcBorders>
              <w:top w:val="nil"/>
              <w:left w:val="nil"/>
              <w:bottom w:val="nil"/>
              <w:right w:val="single" w:color="auto" w:sz="4" w:space="0"/>
            </w:tcBorders>
            <w:noWrap w:val="0"/>
            <w:vAlign w:val="center"/>
          </w:tcPr>
          <w:p>
            <w:pPr>
              <w:widowControl/>
              <w:jc w:val="center"/>
              <w:rPr>
                <w:rFonts w:ascii="宋体" w:cs="宋体"/>
                <w:kern w:val="0"/>
                <w:sz w:val="20"/>
                <w:szCs w:val="20"/>
              </w:rPr>
            </w:pPr>
            <w:r>
              <w:rPr>
                <w:rFonts w:hint="eastAsia" w:ascii="宋体" w:hAnsi="宋体" w:cs="宋体"/>
                <w:kern w:val="0"/>
                <w:sz w:val="20"/>
                <w:szCs w:val="20"/>
              </w:rPr>
              <w:t>经济效益</w:t>
            </w:r>
          </w:p>
        </w:tc>
        <w:tc>
          <w:tcPr>
            <w:tcW w:w="420" w:type="dxa"/>
            <w:tcBorders>
              <w:top w:val="nil"/>
              <w:left w:val="nil"/>
              <w:bottom w:val="nil"/>
              <w:right w:val="single" w:color="auto" w:sz="4" w:space="0"/>
            </w:tcBorders>
            <w:noWrap w:val="0"/>
            <w:vAlign w:val="center"/>
          </w:tcPr>
          <w:p>
            <w:pPr>
              <w:widowControl/>
              <w:jc w:val="center"/>
              <w:rPr>
                <w:rFonts w:ascii="宋体" w:cs="宋体"/>
                <w:kern w:val="0"/>
                <w:sz w:val="20"/>
                <w:szCs w:val="20"/>
              </w:rPr>
            </w:pPr>
            <w:r>
              <w:rPr>
                <w:rFonts w:ascii="宋体" w:hAnsi="宋体" w:cs="宋体"/>
                <w:kern w:val="0"/>
                <w:sz w:val="20"/>
                <w:szCs w:val="20"/>
              </w:rPr>
              <w:t>22</w:t>
            </w:r>
          </w:p>
        </w:tc>
        <w:tc>
          <w:tcPr>
            <w:tcW w:w="3820" w:type="dxa"/>
            <w:tcBorders>
              <w:top w:val="nil"/>
              <w:left w:val="nil"/>
              <w:bottom w:val="single" w:color="auto" w:sz="4" w:space="0"/>
              <w:right w:val="single" w:color="auto" w:sz="4" w:space="0"/>
            </w:tcBorders>
            <w:noWrap w:val="0"/>
            <w:vAlign w:val="center"/>
          </w:tcPr>
          <w:p>
            <w:pPr>
              <w:widowControl/>
              <w:jc w:val="left"/>
              <w:rPr>
                <w:rFonts w:ascii="宋体" w:cs="宋体"/>
                <w:kern w:val="0"/>
                <w:sz w:val="20"/>
                <w:szCs w:val="20"/>
              </w:rPr>
            </w:pPr>
            <w:r>
              <w:rPr>
                <w:rFonts w:ascii="宋体" w:hAnsi="宋体" w:cs="宋体"/>
                <w:kern w:val="0"/>
                <w:sz w:val="20"/>
                <w:szCs w:val="20"/>
              </w:rPr>
              <w:t xml:space="preserve">  </w:t>
            </w:r>
            <w:r>
              <w:rPr>
                <w:rFonts w:hint="eastAsia" w:ascii="宋体" w:hAnsi="宋体" w:cs="宋体"/>
                <w:kern w:val="0"/>
                <w:sz w:val="20"/>
                <w:szCs w:val="20"/>
              </w:rPr>
              <w:t>部门履行职责对经济发展、社会发展和生态环境等所带来的直接或间接影响。</w:t>
            </w:r>
          </w:p>
        </w:tc>
        <w:tc>
          <w:tcPr>
            <w:tcW w:w="2500" w:type="dxa"/>
            <w:tcBorders>
              <w:top w:val="nil"/>
              <w:left w:val="nil"/>
              <w:bottom w:val="nil"/>
              <w:right w:val="nil"/>
            </w:tcBorders>
            <w:noWrap w:val="0"/>
            <w:vAlign w:val="center"/>
          </w:tcPr>
          <w:p>
            <w:pPr>
              <w:widowControl/>
              <w:jc w:val="left"/>
              <w:rPr>
                <w:rFonts w:ascii="宋体" w:cs="宋体"/>
                <w:kern w:val="0"/>
                <w:sz w:val="20"/>
                <w:szCs w:val="20"/>
              </w:rPr>
            </w:pPr>
            <w:r>
              <w:rPr>
                <w:rFonts w:hint="eastAsia" w:ascii="宋体" w:hAnsi="宋体" w:cs="宋体"/>
                <w:kern w:val="0"/>
                <w:sz w:val="20"/>
                <w:szCs w:val="20"/>
              </w:rPr>
              <w:t>此指标为设置部门整体支出绩效评价指标时必须考虑的共性要素，可根据部门实际并结合部门整体支出绩效目标设立情况有选择的进行设置，并将其细化为相应的个性化指标。</w:t>
            </w:r>
          </w:p>
        </w:tc>
        <w:tc>
          <w:tcPr>
            <w:tcW w:w="860" w:type="dxa"/>
            <w:tcBorders>
              <w:top w:val="nil"/>
              <w:left w:val="single" w:color="auto" w:sz="4" w:space="0"/>
              <w:bottom w:val="single" w:color="auto" w:sz="4" w:space="0"/>
              <w:right w:val="single" w:color="auto" w:sz="4" w:space="0"/>
            </w:tcBorders>
            <w:noWrap w:val="0"/>
            <w:vAlign w:val="center"/>
          </w:tcPr>
          <w:p>
            <w:pPr>
              <w:widowControl/>
              <w:jc w:val="center"/>
              <w:rPr>
                <w:rFonts w:ascii="宋体" w:cs="宋体"/>
                <w:kern w:val="0"/>
                <w:sz w:val="24"/>
                <w:szCs w:val="24"/>
              </w:rPr>
            </w:pPr>
            <w:r>
              <w:rPr>
                <w:rFonts w:ascii="宋体" w:hAnsi="宋体" w:cs="宋体"/>
                <w:kern w:val="0"/>
                <w:sz w:val="24"/>
                <w:szCs w:val="24"/>
              </w:rPr>
              <w:t>22</w:t>
            </w:r>
          </w:p>
        </w:tc>
      </w:tr>
      <w:tr>
        <w:tblPrEx>
          <w:tblCellMar>
            <w:top w:w="0" w:type="dxa"/>
            <w:left w:w="108" w:type="dxa"/>
            <w:bottom w:w="0" w:type="dxa"/>
            <w:right w:w="108" w:type="dxa"/>
          </w:tblCellMar>
        </w:tblPrEx>
        <w:trPr>
          <w:trHeight w:val="885" w:hRule="atLeast"/>
        </w:trPr>
        <w:tc>
          <w:tcPr>
            <w:tcW w:w="620" w:type="dxa"/>
            <w:vMerge w:val="continue"/>
            <w:tcBorders>
              <w:top w:val="single" w:color="auto" w:sz="4" w:space="0"/>
              <w:left w:val="single" w:color="auto" w:sz="4" w:space="0"/>
              <w:bottom w:val="single" w:color="000000" w:sz="4" w:space="0"/>
              <w:right w:val="single" w:color="auto" w:sz="4" w:space="0"/>
            </w:tcBorders>
            <w:noWrap w:val="0"/>
            <w:vAlign w:val="center"/>
          </w:tcPr>
          <w:p>
            <w:pPr>
              <w:widowControl/>
              <w:jc w:val="left"/>
              <w:rPr>
                <w:rFonts w:ascii="宋体" w:cs="宋体"/>
                <w:kern w:val="0"/>
                <w:sz w:val="20"/>
                <w:szCs w:val="20"/>
              </w:rPr>
            </w:pPr>
          </w:p>
        </w:tc>
        <w:tc>
          <w:tcPr>
            <w:tcW w:w="62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cs="宋体"/>
                <w:kern w:val="0"/>
                <w:sz w:val="20"/>
                <w:szCs w:val="20"/>
              </w:rPr>
            </w:pPr>
          </w:p>
        </w:tc>
        <w:tc>
          <w:tcPr>
            <w:tcW w:w="880" w:type="dxa"/>
            <w:tcBorders>
              <w:top w:val="single" w:color="auto" w:sz="4" w:space="0"/>
              <w:left w:val="nil"/>
              <w:bottom w:val="single" w:color="auto" w:sz="4" w:space="0"/>
              <w:right w:val="single" w:color="auto" w:sz="4" w:space="0"/>
            </w:tcBorders>
            <w:noWrap w:val="0"/>
            <w:vAlign w:val="center"/>
          </w:tcPr>
          <w:p>
            <w:pPr>
              <w:widowControl/>
              <w:jc w:val="left"/>
              <w:rPr>
                <w:rFonts w:ascii="宋体" w:cs="宋体"/>
                <w:kern w:val="0"/>
                <w:sz w:val="20"/>
                <w:szCs w:val="20"/>
              </w:rPr>
            </w:pPr>
            <w:r>
              <w:rPr>
                <w:rFonts w:hint="eastAsia" w:ascii="宋体" w:hAnsi="宋体" w:cs="宋体"/>
                <w:kern w:val="0"/>
                <w:sz w:val="20"/>
                <w:szCs w:val="20"/>
              </w:rPr>
              <w:t>行政效能</w:t>
            </w:r>
          </w:p>
        </w:tc>
        <w:tc>
          <w:tcPr>
            <w:tcW w:w="420" w:type="dxa"/>
            <w:tcBorders>
              <w:top w:val="single" w:color="auto" w:sz="4" w:space="0"/>
              <w:left w:val="nil"/>
              <w:bottom w:val="single" w:color="auto" w:sz="4" w:space="0"/>
              <w:right w:val="single" w:color="auto" w:sz="4" w:space="0"/>
            </w:tcBorders>
            <w:noWrap w:val="0"/>
            <w:vAlign w:val="center"/>
          </w:tcPr>
          <w:p>
            <w:pPr>
              <w:widowControl/>
              <w:jc w:val="center"/>
              <w:rPr>
                <w:rFonts w:ascii="宋体" w:cs="宋体"/>
                <w:kern w:val="0"/>
                <w:sz w:val="20"/>
                <w:szCs w:val="20"/>
              </w:rPr>
            </w:pPr>
            <w:r>
              <w:rPr>
                <w:rFonts w:ascii="宋体" w:hAnsi="宋体" w:cs="宋体"/>
                <w:kern w:val="0"/>
                <w:sz w:val="20"/>
                <w:szCs w:val="20"/>
              </w:rPr>
              <w:t>3</w:t>
            </w:r>
          </w:p>
        </w:tc>
        <w:tc>
          <w:tcPr>
            <w:tcW w:w="3820" w:type="dxa"/>
            <w:tcBorders>
              <w:top w:val="nil"/>
              <w:left w:val="nil"/>
              <w:bottom w:val="single" w:color="auto" w:sz="4" w:space="0"/>
              <w:right w:val="single" w:color="auto" w:sz="4" w:space="0"/>
            </w:tcBorders>
            <w:noWrap w:val="0"/>
            <w:vAlign w:val="center"/>
          </w:tcPr>
          <w:p>
            <w:pPr>
              <w:widowControl/>
              <w:jc w:val="left"/>
              <w:rPr>
                <w:rFonts w:ascii="宋体" w:cs="宋体"/>
                <w:kern w:val="0"/>
                <w:sz w:val="20"/>
                <w:szCs w:val="20"/>
              </w:rPr>
            </w:pPr>
            <w:r>
              <w:rPr>
                <w:rFonts w:ascii="宋体" w:hAnsi="宋体" w:cs="宋体"/>
                <w:kern w:val="0"/>
                <w:sz w:val="20"/>
                <w:szCs w:val="20"/>
              </w:rPr>
              <w:t xml:space="preserve">  </w:t>
            </w:r>
            <w:r>
              <w:rPr>
                <w:rFonts w:hint="eastAsia" w:ascii="宋体" w:hAnsi="宋体" w:cs="宋体"/>
                <w:kern w:val="0"/>
                <w:sz w:val="20"/>
                <w:szCs w:val="20"/>
              </w:rPr>
              <w:t>政府对机关工作实施情况的具体评价，以年度政府考核结果为依据。</w:t>
            </w:r>
          </w:p>
        </w:tc>
        <w:tc>
          <w:tcPr>
            <w:tcW w:w="2500" w:type="dxa"/>
            <w:tcBorders>
              <w:top w:val="single" w:color="auto" w:sz="4" w:space="0"/>
              <w:left w:val="nil"/>
              <w:bottom w:val="single" w:color="auto" w:sz="4" w:space="0"/>
              <w:right w:val="nil"/>
            </w:tcBorders>
            <w:noWrap w:val="0"/>
            <w:vAlign w:val="center"/>
          </w:tcPr>
          <w:p>
            <w:pPr>
              <w:widowControl/>
              <w:jc w:val="left"/>
              <w:rPr>
                <w:rFonts w:ascii="宋体" w:cs="宋体"/>
                <w:kern w:val="0"/>
                <w:sz w:val="20"/>
                <w:szCs w:val="20"/>
              </w:rPr>
            </w:pPr>
            <w:r>
              <w:rPr>
                <w:rFonts w:hint="eastAsia" w:ascii="宋体" w:hAnsi="宋体" w:cs="宋体"/>
                <w:kern w:val="0"/>
                <w:sz w:val="20"/>
                <w:szCs w:val="20"/>
              </w:rPr>
              <w:t>优秀计</w:t>
            </w:r>
            <w:r>
              <w:rPr>
                <w:rFonts w:ascii="宋体" w:hAnsi="宋体" w:cs="宋体"/>
                <w:kern w:val="0"/>
                <w:sz w:val="20"/>
                <w:szCs w:val="20"/>
              </w:rPr>
              <w:t>3</w:t>
            </w:r>
            <w:r>
              <w:rPr>
                <w:rFonts w:hint="eastAsia" w:ascii="宋体" w:hAnsi="宋体" w:cs="宋体"/>
                <w:kern w:val="0"/>
                <w:sz w:val="20"/>
                <w:szCs w:val="20"/>
              </w:rPr>
              <w:t>分，良好计</w:t>
            </w:r>
            <w:r>
              <w:rPr>
                <w:rFonts w:ascii="宋体" w:hAnsi="宋体" w:cs="宋体"/>
                <w:kern w:val="0"/>
                <w:sz w:val="20"/>
                <w:szCs w:val="20"/>
              </w:rPr>
              <w:t>2</w:t>
            </w:r>
            <w:r>
              <w:rPr>
                <w:rFonts w:hint="eastAsia" w:ascii="宋体" w:hAnsi="宋体" w:cs="宋体"/>
                <w:kern w:val="0"/>
                <w:sz w:val="20"/>
                <w:szCs w:val="20"/>
              </w:rPr>
              <w:t>分，合格计</w:t>
            </w:r>
            <w:r>
              <w:rPr>
                <w:rFonts w:ascii="宋体" w:hAnsi="宋体" w:cs="宋体"/>
                <w:kern w:val="0"/>
                <w:sz w:val="20"/>
                <w:szCs w:val="20"/>
              </w:rPr>
              <w:t>1</w:t>
            </w:r>
            <w:r>
              <w:rPr>
                <w:rFonts w:hint="eastAsia" w:ascii="宋体" w:hAnsi="宋体" w:cs="宋体"/>
                <w:kern w:val="0"/>
                <w:sz w:val="20"/>
                <w:szCs w:val="20"/>
              </w:rPr>
              <w:t>分，不合格计</w:t>
            </w:r>
            <w:r>
              <w:rPr>
                <w:rFonts w:ascii="宋体" w:hAnsi="宋体" w:cs="宋体"/>
                <w:kern w:val="0"/>
                <w:sz w:val="20"/>
                <w:szCs w:val="20"/>
              </w:rPr>
              <w:t>0</w:t>
            </w:r>
            <w:r>
              <w:rPr>
                <w:rFonts w:hint="eastAsia" w:ascii="宋体" w:hAnsi="宋体" w:cs="宋体"/>
                <w:kern w:val="0"/>
                <w:sz w:val="20"/>
                <w:szCs w:val="20"/>
              </w:rPr>
              <w:t>分。</w:t>
            </w:r>
          </w:p>
        </w:tc>
        <w:tc>
          <w:tcPr>
            <w:tcW w:w="860" w:type="dxa"/>
            <w:tcBorders>
              <w:top w:val="nil"/>
              <w:left w:val="single" w:color="auto" w:sz="4" w:space="0"/>
              <w:bottom w:val="single" w:color="auto" w:sz="4" w:space="0"/>
              <w:right w:val="single" w:color="auto" w:sz="4" w:space="0"/>
            </w:tcBorders>
            <w:noWrap w:val="0"/>
            <w:vAlign w:val="center"/>
          </w:tcPr>
          <w:p>
            <w:pPr>
              <w:widowControl/>
              <w:jc w:val="center"/>
              <w:rPr>
                <w:rFonts w:ascii="宋体" w:cs="宋体"/>
                <w:kern w:val="0"/>
                <w:sz w:val="24"/>
                <w:szCs w:val="24"/>
              </w:rPr>
            </w:pPr>
            <w:r>
              <w:rPr>
                <w:rFonts w:ascii="宋体" w:hAnsi="宋体" w:cs="宋体"/>
                <w:kern w:val="0"/>
                <w:sz w:val="24"/>
                <w:szCs w:val="24"/>
              </w:rPr>
              <w:t>3</w:t>
            </w:r>
          </w:p>
        </w:tc>
      </w:tr>
      <w:tr>
        <w:tblPrEx>
          <w:tblCellMar>
            <w:top w:w="0" w:type="dxa"/>
            <w:left w:w="108" w:type="dxa"/>
            <w:bottom w:w="0" w:type="dxa"/>
            <w:right w:w="108" w:type="dxa"/>
          </w:tblCellMar>
        </w:tblPrEx>
        <w:trPr>
          <w:trHeight w:val="840" w:hRule="atLeast"/>
        </w:trPr>
        <w:tc>
          <w:tcPr>
            <w:tcW w:w="620" w:type="dxa"/>
            <w:vMerge w:val="continue"/>
            <w:tcBorders>
              <w:top w:val="single" w:color="auto" w:sz="4" w:space="0"/>
              <w:left w:val="single" w:color="auto" w:sz="4" w:space="0"/>
              <w:bottom w:val="single" w:color="000000" w:sz="4" w:space="0"/>
              <w:right w:val="single" w:color="auto" w:sz="4" w:space="0"/>
            </w:tcBorders>
            <w:noWrap w:val="0"/>
            <w:vAlign w:val="center"/>
          </w:tcPr>
          <w:p>
            <w:pPr>
              <w:widowControl/>
              <w:jc w:val="left"/>
              <w:rPr>
                <w:rFonts w:ascii="宋体" w:cs="宋体"/>
                <w:kern w:val="0"/>
                <w:sz w:val="20"/>
                <w:szCs w:val="20"/>
              </w:rPr>
            </w:pPr>
          </w:p>
        </w:tc>
        <w:tc>
          <w:tcPr>
            <w:tcW w:w="62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cs="宋体"/>
                <w:kern w:val="0"/>
                <w:sz w:val="20"/>
                <w:szCs w:val="20"/>
              </w:rPr>
            </w:pPr>
          </w:p>
        </w:tc>
        <w:tc>
          <w:tcPr>
            <w:tcW w:w="880" w:type="dxa"/>
            <w:vMerge w:val="restart"/>
            <w:tcBorders>
              <w:top w:val="nil"/>
              <w:left w:val="single" w:color="auto" w:sz="4" w:space="0"/>
              <w:bottom w:val="single" w:color="auto" w:sz="4" w:space="0"/>
              <w:right w:val="single" w:color="auto" w:sz="4" w:space="0"/>
            </w:tcBorders>
            <w:noWrap w:val="0"/>
            <w:vAlign w:val="center"/>
          </w:tcPr>
          <w:p>
            <w:pPr>
              <w:widowControl/>
              <w:jc w:val="left"/>
              <w:rPr>
                <w:rFonts w:ascii="宋体" w:cs="宋体"/>
                <w:kern w:val="0"/>
                <w:sz w:val="20"/>
                <w:szCs w:val="20"/>
              </w:rPr>
            </w:pPr>
            <w:r>
              <w:rPr>
                <w:rFonts w:hint="eastAsia" w:ascii="宋体" w:hAnsi="宋体" w:cs="宋体"/>
                <w:kern w:val="0"/>
                <w:sz w:val="20"/>
                <w:szCs w:val="20"/>
              </w:rPr>
              <w:t>社会公众或服务对象满意度</w:t>
            </w:r>
          </w:p>
        </w:tc>
        <w:tc>
          <w:tcPr>
            <w:tcW w:w="420"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ascii="宋体" w:cs="宋体"/>
                <w:kern w:val="0"/>
                <w:sz w:val="20"/>
                <w:szCs w:val="20"/>
              </w:rPr>
            </w:pPr>
            <w:r>
              <w:rPr>
                <w:rFonts w:ascii="宋体" w:hAnsi="宋体" w:cs="宋体"/>
                <w:kern w:val="0"/>
                <w:sz w:val="20"/>
                <w:szCs w:val="20"/>
              </w:rPr>
              <w:t>5</w:t>
            </w:r>
          </w:p>
        </w:tc>
        <w:tc>
          <w:tcPr>
            <w:tcW w:w="3820" w:type="dxa"/>
            <w:tcBorders>
              <w:top w:val="nil"/>
              <w:left w:val="nil"/>
              <w:bottom w:val="nil"/>
              <w:right w:val="single" w:color="auto" w:sz="4" w:space="0"/>
            </w:tcBorders>
            <w:noWrap w:val="0"/>
            <w:vAlign w:val="center"/>
          </w:tcPr>
          <w:p>
            <w:pPr>
              <w:widowControl/>
              <w:jc w:val="left"/>
              <w:rPr>
                <w:rFonts w:ascii="宋体" w:cs="宋体"/>
                <w:kern w:val="0"/>
                <w:sz w:val="20"/>
                <w:szCs w:val="20"/>
              </w:rPr>
            </w:pPr>
            <w:r>
              <w:rPr>
                <w:rFonts w:ascii="宋体" w:hAnsi="宋体" w:cs="宋体"/>
                <w:kern w:val="0"/>
                <w:sz w:val="20"/>
                <w:szCs w:val="20"/>
              </w:rPr>
              <w:t xml:space="preserve">  </w:t>
            </w:r>
            <w:r>
              <w:rPr>
                <w:rFonts w:hint="eastAsia" w:ascii="宋体" w:hAnsi="宋体" w:cs="宋体"/>
                <w:kern w:val="0"/>
                <w:sz w:val="20"/>
                <w:szCs w:val="20"/>
              </w:rPr>
              <w:t>社会公众或部门服务对象对部门履行效果的满意程度。</w:t>
            </w:r>
          </w:p>
        </w:tc>
        <w:tc>
          <w:tcPr>
            <w:tcW w:w="2500" w:type="dxa"/>
            <w:vMerge w:val="restart"/>
            <w:tcBorders>
              <w:top w:val="nil"/>
              <w:left w:val="single" w:color="auto" w:sz="4" w:space="0"/>
              <w:bottom w:val="single" w:color="000000" w:sz="4" w:space="0"/>
              <w:right w:val="nil"/>
            </w:tcBorders>
            <w:noWrap w:val="0"/>
            <w:vAlign w:val="center"/>
          </w:tcPr>
          <w:p>
            <w:pPr>
              <w:widowControl/>
              <w:jc w:val="left"/>
              <w:rPr>
                <w:rFonts w:ascii="宋体" w:cs="宋体"/>
                <w:kern w:val="0"/>
                <w:sz w:val="20"/>
                <w:szCs w:val="20"/>
              </w:rPr>
            </w:pPr>
            <w:r>
              <w:rPr>
                <w:rFonts w:hint="eastAsia" w:ascii="宋体" w:hAnsi="宋体" w:cs="宋体"/>
                <w:kern w:val="0"/>
                <w:sz w:val="20"/>
                <w:szCs w:val="20"/>
              </w:rPr>
              <w:t>≥</w:t>
            </w:r>
            <w:r>
              <w:rPr>
                <w:rFonts w:ascii="宋体" w:hAnsi="宋体" w:cs="宋体"/>
                <w:kern w:val="0"/>
                <w:sz w:val="20"/>
                <w:szCs w:val="20"/>
              </w:rPr>
              <w:t>90%,</w:t>
            </w:r>
            <w:r>
              <w:rPr>
                <w:rFonts w:hint="eastAsia" w:ascii="宋体" w:hAnsi="宋体" w:cs="宋体"/>
                <w:kern w:val="0"/>
                <w:sz w:val="20"/>
                <w:szCs w:val="20"/>
              </w:rPr>
              <w:t>得</w:t>
            </w:r>
            <w:r>
              <w:rPr>
                <w:rFonts w:ascii="宋体" w:hAnsi="宋体" w:cs="宋体"/>
                <w:kern w:val="0"/>
                <w:sz w:val="20"/>
                <w:szCs w:val="20"/>
              </w:rPr>
              <w:t>5</w:t>
            </w:r>
            <w:r>
              <w:rPr>
                <w:rFonts w:hint="eastAsia" w:ascii="宋体" w:hAnsi="宋体" w:cs="宋体"/>
                <w:kern w:val="0"/>
                <w:sz w:val="20"/>
                <w:szCs w:val="20"/>
              </w:rPr>
              <w:t>分；</w:t>
            </w:r>
            <w:r>
              <w:rPr>
                <w:rFonts w:ascii="宋体" w:cs="宋体"/>
                <w:kern w:val="0"/>
                <w:sz w:val="20"/>
                <w:szCs w:val="20"/>
              </w:rPr>
              <w:br w:type="textWrapping"/>
            </w:r>
            <w:r>
              <w:rPr>
                <w:rFonts w:ascii="宋体" w:hAnsi="宋体" w:cs="宋体"/>
                <w:kern w:val="0"/>
                <w:sz w:val="20"/>
                <w:szCs w:val="20"/>
              </w:rPr>
              <w:t>85%-90%</w:t>
            </w:r>
            <w:r>
              <w:rPr>
                <w:rFonts w:hint="eastAsia" w:ascii="宋体" w:hAnsi="宋体" w:cs="宋体"/>
                <w:kern w:val="0"/>
                <w:sz w:val="20"/>
                <w:szCs w:val="20"/>
              </w:rPr>
              <w:t>（含），得</w:t>
            </w:r>
            <w:r>
              <w:rPr>
                <w:rFonts w:ascii="宋体" w:hAnsi="宋体" w:cs="宋体"/>
                <w:kern w:val="0"/>
                <w:sz w:val="20"/>
                <w:szCs w:val="20"/>
              </w:rPr>
              <w:t>4</w:t>
            </w:r>
            <w:r>
              <w:rPr>
                <w:rFonts w:hint="eastAsia" w:ascii="宋体" w:hAnsi="宋体" w:cs="宋体"/>
                <w:kern w:val="0"/>
                <w:sz w:val="20"/>
                <w:szCs w:val="20"/>
              </w:rPr>
              <w:t>分；</w:t>
            </w:r>
            <w:r>
              <w:rPr>
                <w:rFonts w:ascii="宋体" w:cs="宋体"/>
                <w:kern w:val="0"/>
                <w:sz w:val="20"/>
                <w:szCs w:val="20"/>
              </w:rPr>
              <w:br w:type="textWrapping"/>
            </w:r>
            <w:r>
              <w:rPr>
                <w:rFonts w:ascii="宋体" w:hAnsi="宋体" w:cs="宋体"/>
                <w:kern w:val="0"/>
                <w:sz w:val="20"/>
                <w:szCs w:val="20"/>
              </w:rPr>
              <w:t>80%</w:t>
            </w:r>
            <w:r>
              <w:rPr>
                <w:rFonts w:hint="eastAsia" w:ascii="宋体" w:hAnsi="宋体" w:cs="宋体"/>
                <w:kern w:val="0"/>
                <w:sz w:val="20"/>
                <w:szCs w:val="20"/>
              </w:rPr>
              <w:t>（含）</w:t>
            </w:r>
            <w:r>
              <w:rPr>
                <w:rFonts w:ascii="宋体" w:hAnsi="宋体" w:cs="宋体"/>
                <w:kern w:val="0"/>
                <w:sz w:val="20"/>
                <w:szCs w:val="20"/>
              </w:rPr>
              <w:t>-85%</w:t>
            </w:r>
            <w:r>
              <w:rPr>
                <w:rFonts w:hint="eastAsia" w:ascii="宋体" w:hAnsi="宋体" w:cs="宋体"/>
                <w:kern w:val="0"/>
                <w:sz w:val="20"/>
                <w:szCs w:val="20"/>
              </w:rPr>
              <w:t>，得</w:t>
            </w:r>
            <w:r>
              <w:rPr>
                <w:rFonts w:ascii="宋体" w:hAnsi="宋体" w:cs="宋体"/>
                <w:kern w:val="0"/>
                <w:sz w:val="20"/>
                <w:szCs w:val="20"/>
              </w:rPr>
              <w:t>2</w:t>
            </w:r>
            <w:r>
              <w:rPr>
                <w:rFonts w:hint="eastAsia" w:ascii="宋体" w:hAnsi="宋体" w:cs="宋体"/>
                <w:kern w:val="0"/>
                <w:sz w:val="20"/>
                <w:szCs w:val="20"/>
              </w:rPr>
              <w:t>分；</w:t>
            </w:r>
            <w:r>
              <w:rPr>
                <w:rFonts w:ascii="宋体" w:cs="宋体"/>
                <w:kern w:val="0"/>
                <w:sz w:val="20"/>
                <w:szCs w:val="20"/>
              </w:rPr>
              <w:br w:type="textWrapping"/>
            </w:r>
            <w:r>
              <w:rPr>
                <w:rFonts w:ascii="宋体" w:hAnsi="宋体" w:cs="宋体"/>
                <w:kern w:val="0"/>
                <w:sz w:val="20"/>
                <w:szCs w:val="20"/>
              </w:rPr>
              <w:t>75%</w:t>
            </w:r>
            <w:r>
              <w:rPr>
                <w:rFonts w:hint="eastAsia" w:ascii="宋体" w:hAnsi="宋体" w:cs="宋体"/>
                <w:kern w:val="0"/>
                <w:sz w:val="20"/>
                <w:szCs w:val="20"/>
              </w:rPr>
              <w:t>（含）</w:t>
            </w:r>
            <w:r>
              <w:rPr>
                <w:rFonts w:ascii="宋体" w:hAnsi="宋体" w:cs="宋体"/>
                <w:kern w:val="0"/>
                <w:sz w:val="20"/>
                <w:szCs w:val="20"/>
              </w:rPr>
              <w:t>-80%</w:t>
            </w:r>
            <w:r>
              <w:rPr>
                <w:rFonts w:hint="eastAsia" w:ascii="宋体" w:hAnsi="宋体" w:cs="宋体"/>
                <w:kern w:val="0"/>
                <w:sz w:val="20"/>
                <w:szCs w:val="20"/>
              </w:rPr>
              <w:t>，得</w:t>
            </w:r>
            <w:r>
              <w:rPr>
                <w:rFonts w:ascii="宋体" w:hAnsi="宋体" w:cs="宋体"/>
                <w:kern w:val="0"/>
                <w:sz w:val="20"/>
                <w:szCs w:val="20"/>
              </w:rPr>
              <w:t>1</w:t>
            </w:r>
            <w:r>
              <w:rPr>
                <w:rFonts w:hint="eastAsia" w:ascii="宋体" w:hAnsi="宋体" w:cs="宋体"/>
                <w:kern w:val="0"/>
                <w:sz w:val="20"/>
                <w:szCs w:val="20"/>
              </w:rPr>
              <w:t>分；</w:t>
            </w:r>
            <w:r>
              <w:rPr>
                <w:rFonts w:ascii="宋体" w:cs="宋体"/>
                <w:kern w:val="0"/>
                <w:sz w:val="20"/>
                <w:szCs w:val="20"/>
              </w:rPr>
              <w:br w:type="textWrapping"/>
            </w:r>
            <w:r>
              <w:rPr>
                <w:rFonts w:ascii="宋体" w:hAnsi="宋体" w:cs="宋体"/>
                <w:kern w:val="0"/>
                <w:sz w:val="20"/>
                <w:szCs w:val="20"/>
              </w:rPr>
              <w:t>&lt;75%</w:t>
            </w:r>
            <w:r>
              <w:rPr>
                <w:rFonts w:hint="eastAsia" w:ascii="宋体" w:hAnsi="宋体" w:cs="宋体"/>
                <w:kern w:val="0"/>
                <w:sz w:val="20"/>
                <w:szCs w:val="20"/>
              </w:rPr>
              <w:t>，得</w:t>
            </w:r>
            <w:r>
              <w:rPr>
                <w:rFonts w:ascii="宋体" w:hAnsi="宋体" w:cs="宋体"/>
                <w:kern w:val="0"/>
                <w:sz w:val="20"/>
                <w:szCs w:val="20"/>
              </w:rPr>
              <w:t>0</w:t>
            </w:r>
            <w:r>
              <w:rPr>
                <w:rFonts w:hint="eastAsia" w:ascii="宋体" w:hAnsi="宋体" w:cs="宋体"/>
                <w:kern w:val="0"/>
                <w:sz w:val="20"/>
                <w:szCs w:val="20"/>
              </w:rPr>
              <w:t>分。</w:t>
            </w:r>
          </w:p>
        </w:tc>
        <w:tc>
          <w:tcPr>
            <w:tcW w:w="860"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ascii="宋体" w:cs="宋体"/>
                <w:kern w:val="0"/>
                <w:sz w:val="24"/>
                <w:szCs w:val="24"/>
              </w:rPr>
            </w:pPr>
            <w:r>
              <w:rPr>
                <w:rFonts w:ascii="宋体" w:hAnsi="宋体" w:cs="宋体"/>
                <w:kern w:val="0"/>
                <w:sz w:val="24"/>
                <w:szCs w:val="24"/>
              </w:rPr>
              <w:t>5</w:t>
            </w:r>
          </w:p>
        </w:tc>
      </w:tr>
      <w:tr>
        <w:tblPrEx>
          <w:tblCellMar>
            <w:top w:w="0" w:type="dxa"/>
            <w:left w:w="108" w:type="dxa"/>
            <w:bottom w:w="0" w:type="dxa"/>
            <w:right w:w="108" w:type="dxa"/>
          </w:tblCellMar>
        </w:tblPrEx>
        <w:trPr>
          <w:trHeight w:val="619" w:hRule="atLeast"/>
        </w:trPr>
        <w:tc>
          <w:tcPr>
            <w:tcW w:w="620" w:type="dxa"/>
            <w:vMerge w:val="continue"/>
            <w:tcBorders>
              <w:top w:val="single" w:color="auto" w:sz="4" w:space="0"/>
              <w:left w:val="single" w:color="auto" w:sz="4" w:space="0"/>
              <w:bottom w:val="single" w:color="000000" w:sz="4" w:space="0"/>
              <w:right w:val="single" w:color="auto" w:sz="4" w:space="0"/>
            </w:tcBorders>
            <w:noWrap w:val="0"/>
            <w:vAlign w:val="center"/>
          </w:tcPr>
          <w:p>
            <w:pPr>
              <w:widowControl/>
              <w:jc w:val="left"/>
              <w:rPr>
                <w:rFonts w:ascii="宋体" w:cs="宋体"/>
                <w:kern w:val="0"/>
                <w:sz w:val="20"/>
                <w:szCs w:val="20"/>
              </w:rPr>
            </w:pPr>
          </w:p>
        </w:tc>
        <w:tc>
          <w:tcPr>
            <w:tcW w:w="62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cs="宋体"/>
                <w:kern w:val="0"/>
                <w:sz w:val="20"/>
                <w:szCs w:val="20"/>
              </w:rPr>
            </w:pPr>
          </w:p>
        </w:tc>
        <w:tc>
          <w:tcPr>
            <w:tcW w:w="88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cs="宋体"/>
                <w:kern w:val="0"/>
                <w:sz w:val="20"/>
                <w:szCs w:val="20"/>
              </w:rPr>
            </w:pPr>
          </w:p>
        </w:tc>
        <w:tc>
          <w:tcPr>
            <w:tcW w:w="42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cs="宋体"/>
                <w:kern w:val="0"/>
                <w:sz w:val="20"/>
                <w:szCs w:val="20"/>
              </w:rPr>
            </w:pPr>
          </w:p>
        </w:tc>
        <w:tc>
          <w:tcPr>
            <w:tcW w:w="3820" w:type="dxa"/>
            <w:tcBorders>
              <w:top w:val="nil"/>
              <w:left w:val="nil"/>
              <w:bottom w:val="single" w:color="auto" w:sz="4" w:space="0"/>
              <w:right w:val="single" w:color="auto" w:sz="4" w:space="0"/>
            </w:tcBorders>
            <w:noWrap w:val="0"/>
            <w:vAlign w:val="center"/>
          </w:tcPr>
          <w:p>
            <w:pPr>
              <w:widowControl/>
              <w:jc w:val="left"/>
              <w:rPr>
                <w:rFonts w:ascii="宋体" w:cs="宋体"/>
                <w:kern w:val="0"/>
                <w:sz w:val="20"/>
                <w:szCs w:val="20"/>
              </w:rPr>
            </w:pPr>
            <w:r>
              <w:rPr>
                <w:rFonts w:ascii="宋体" w:hAnsi="宋体" w:cs="宋体"/>
                <w:kern w:val="0"/>
                <w:sz w:val="20"/>
                <w:szCs w:val="20"/>
              </w:rPr>
              <w:t xml:space="preserve">  </w:t>
            </w:r>
            <w:r>
              <w:rPr>
                <w:rFonts w:hint="eastAsia" w:ascii="宋体" w:hAnsi="宋体" w:cs="宋体"/>
                <w:kern w:val="0"/>
                <w:sz w:val="20"/>
                <w:szCs w:val="20"/>
              </w:rPr>
              <w:t>社会公众或服务对象是指部门履行职责而影响到的部门、群体或个人。</w:t>
            </w:r>
          </w:p>
        </w:tc>
        <w:tc>
          <w:tcPr>
            <w:tcW w:w="2500" w:type="dxa"/>
            <w:vMerge w:val="continue"/>
            <w:tcBorders>
              <w:top w:val="nil"/>
              <w:left w:val="single" w:color="auto" w:sz="4" w:space="0"/>
              <w:bottom w:val="single" w:color="000000" w:sz="4" w:space="0"/>
              <w:right w:val="nil"/>
            </w:tcBorders>
            <w:noWrap w:val="0"/>
            <w:vAlign w:val="center"/>
          </w:tcPr>
          <w:p>
            <w:pPr>
              <w:widowControl/>
              <w:jc w:val="left"/>
              <w:rPr>
                <w:rFonts w:ascii="宋体" w:cs="宋体"/>
                <w:kern w:val="0"/>
                <w:sz w:val="20"/>
                <w:szCs w:val="20"/>
              </w:rPr>
            </w:pPr>
          </w:p>
        </w:tc>
        <w:tc>
          <w:tcPr>
            <w:tcW w:w="86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cs="宋体"/>
                <w:kern w:val="0"/>
                <w:sz w:val="24"/>
                <w:szCs w:val="24"/>
              </w:rPr>
            </w:pPr>
          </w:p>
        </w:tc>
      </w:tr>
      <w:tr>
        <w:tblPrEx>
          <w:tblCellMar>
            <w:top w:w="0" w:type="dxa"/>
            <w:left w:w="108" w:type="dxa"/>
            <w:bottom w:w="0" w:type="dxa"/>
            <w:right w:w="108" w:type="dxa"/>
          </w:tblCellMar>
        </w:tblPrEx>
        <w:trPr>
          <w:trHeight w:val="720" w:hRule="atLeast"/>
        </w:trPr>
        <w:tc>
          <w:tcPr>
            <w:tcW w:w="1240"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cs="宋体"/>
                <w:kern w:val="0"/>
                <w:sz w:val="20"/>
                <w:szCs w:val="20"/>
              </w:rPr>
            </w:pPr>
            <w:r>
              <w:rPr>
                <w:rFonts w:hint="eastAsia" w:ascii="宋体" w:hAnsi="宋体" w:cs="宋体"/>
                <w:kern w:val="0"/>
                <w:sz w:val="20"/>
                <w:szCs w:val="20"/>
              </w:rPr>
              <w:t>合计</w:t>
            </w:r>
          </w:p>
        </w:tc>
        <w:tc>
          <w:tcPr>
            <w:tcW w:w="880" w:type="dxa"/>
            <w:tcBorders>
              <w:top w:val="nil"/>
              <w:left w:val="nil"/>
              <w:bottom w:val="single" w:color="auto" w:sz="4" w:space="0"/>
              <w:right w:val="single" w:color="auto" w:sz="4" w:space="0"/>
            </w:tcBorders>
            <w:noWrap w:val="0"/>
            <w:vAlign w:val="center"/>
          </w:tcPr>
          <w:p>
            <w:pPr>
              <w:widowControl/>
              <w:jc w:val="left"/>
              <w:rPr>
                <w:rFonts w:ascii="宋体" w:cs="宋体"/>
                <w:kern w:val="0"/>
                <w:sz w:val="20"/>
                <w:szCs w:val="20"/>
              </w:rPr>
            </w:pPr>
            <w:r>
              <w:rPr>
                <w:rFonts w:hint="eastAsia" w:ascii="宋体" w:hAnsi="宋体" w:cs="宋体"/>
                <w:kern w:val="0"/>
                <w:sz w:val="20"/>
                <w:szCs w:val="20"/>
              </w:rPr>
              <w:t>　</w:t>
            </w:r>
          </w:p>
        </w:tc>
        <w:tc>
          <w:tcPr>
            <w:tcW w:w="420" w:type="dxa"/>
            <w:tcBorders>
              <w:top w:val="nil"/>
              <w:left w:val="nil"/>
              <w:bottom w:val="single" w:color="auto" w:sz="4" w:space="0"/>
              <w:right w:val="single" w:color="auto" w:sz="4" w:space="0"/>
            </w:tcBorders>
            <w:noWrap w:val="0"/>
            <w:vAlign w:val="center"/>
          </w:tcPr>
          <w:p>
            <w:pPr>
              <w:widowControl/>
              <w:jc w:val="center"/>
              <w:rPr>
                <w:rFonts w:ascii="宋体" w:cs="宋体"/>
                <w:kern w:val="0"/>
                <w:sz w:val="20"/>
                <w:szCs w:val="20"/>
              </w:rPr>
            </w:pPr>
            <w:r>
              <w:rPr>
                <w:rFonts w:ascii="宋体" w:hAnsi="宋体" w:cs="宋体"/>
                <w:kern w:val="0"/>
                <w:sz w:val="20"/>
                <w:szCs w:val="20"/>
              </w:rPr>
              <w:t>100</w:t>
            </w:r>
          </w:p>
        </w:tc>
        <w:tc>
          <w:tcPr>
            <w:tcW w:w="3820" w:type="dxa"/>
            <w:tcBorders>
              <w:top w:val="nil"/>
              <w:left w:val="nil"/>
              <w:bottom w:val="single" w:color="auto" w:sz="4" w:space="0"/>
              <w:right w:val="single" w:color="auto" w:sz="4" w:space="0"/>
            </w:tcBorders>
            <w:noWrap w:val="0"/>
            <w:vAlign w:val="center"/>
          </w:tcPr>
          <w:p>
            <w:pPr>
              <w:widowControl/>
              <w:jc w:val="left"/>
              <w:rPr>
                <w:rFonts w:ascii="宋体" w:cs="宋体"/>
                <w:kern w:val="0"/>
                <w:sz w:val="20"/>
                <w:szCs w:val="20"/>
              </w:rPr>
            </w:pPr>
            <w:r>
              <w:rPr>
                <w:rFonts w:hint="eastAsia" w:ascii="宋体" w:hAnsi="宋体" w:cs="宋体"/>
                <w:kern w:val="0"/>
                <w:sz w:val="20"/>
                <w:szCs w:val="20"/>
              </w:rPr>
              <w:t>　</w:t>
            </w:r>
          </w:p>
        </w:tc>
        <w:tc>
          <w:tcPr>
            <w:tcW w:w="2500" w:type="dxa"/>
            <w:tcBorders>
              <w:top w:val="nil"/>
              <w:left w:val="nil"/>
              <w:bottom w:val="single" w:color="auto" w:sz="4" w:space="0"/>
              <w:right w:val="single" w:color="auto" w:sz="4" w:space="0"/>
            </w:tcBorders>
            <w:noWrap w:val="0"/>
            <w:vAlign w:val="center"/>
          </w:tcPr>
          <w:p>
            <w:pPr>
              <w:widowControl/>
              <w:jc w:val="left"/>
              <w:rPr>
                <w:rFonts w:ascii="宋体" w:cs="宋体"/>
                <w:kern w:val="0"/>
                <w:sz w:val="20"/>
                <w:szCs w:val="20"/>
              </w:rPr>
            </w:pPr>
            <w:r>
              <w:rPr>
                <w:rFonts w:hint="eastAsia" w:ascii="宋体" w:hAnsi="宋体" w:cs="宋体"/>
                <w:kern w:val="0"/>
                <w:sz w:val="20"/>
                <w:szCs w:val="20"/>
              </w:rPr>
              <w:t>　</w:t>
            </w:r>
          </w:p>
        </w:tc>
        <w:tc>
          <w:tcPr>
            <w:tcW w:w="860" w:type="dxa"/>
            <w:tcBorders>
              <w:top w:val="nil"/>
              <w:left w:val="nil"/>
              <w:bottom w:val="single" w:color="auto" w:sz="4" w:space="0"/>
              <w:right w:val="single" w:color="auto" w:sz="4" w:space="0"/>
            </w:tcBorders>
            <w:noWrap w:val="0"/>
            <w:vAlign w:val="center"/>
          </w:tcPr>
          <w:p>
            <w:pPr>
              <w:widowControl/>
              <w:jc w:val="center"/>
              <w:rPr>
                <w:rFonts w:ascii="宋体" w:cs="宋体"/>
                <w:kern w:val="0"/>
                <w:sz w:val="24"/>
                <w:szCs w:val="24"/>
              </w:rPr>
            </w:pPr>
            <w:r>
              <w:rPr>
                <w:rFonts w:ascii="宋体" w:hAnsi="宋体" w:cs="宋体"/>
                <w:kern w:val="0"/>
                <w:sz w:val="24"/>
                <w:szCs w:val="24"/>
              </w:rPr>
              <w:t>9</w:t>
            </w:r>
            <w:r>
              <w:rPr>
                <w:rFonts w:hint="eastAsia" w:ascii="宋体" w:hAnsi="宋体" w:cs="宋体"/>
                <w:kern w:val="0"/>
                <w:sz w:val="24"/>
                <w:szCs w:val="24"/>
              </w:rPr>
              <w:t>5</w:t>
            </w:r>
            <w:r>
              <w:rPr>
                <w:rFonts w:ascii="宋体" w:hAnsi="宋体" w:cs="宋体"/>
                <w:kern w:val="0"/>
                <w:sz w:val="24"/>
                <w:szCs w:val="24"/>
              </w:rPr>
              <w:t xml:space="preserve">.0 </w:t>
            </w:r>
          </w:p>
        </w:tc>
      </w:tr>
    </w:tbl>
    <w:p>
      <w:pPr>
        <w:spacing w:line="540" w:lineRule="exact"/>
        <w:ind w:left="1436" w:leftChars="684" w:firstLine="4000" w:firstLineChars="1250"/>
        <w:rPr>
          <w:rFonts w:ascii="仿宋_GB2312" w:hAnsi="仿宋" w:eastAsia="仿宋_GB2312"/>
          <w:color w:val="222222"/>
          <w:kern w:val="0"/>
          <w:sz w:val="32"/>
          <w:szCs w:val="32"/>
        </w:rPr>
      </w:pPr>
    </w:p>
    <w:p>
      <w:pPr>
        <w:spacing w:line="540" w:lineRule="exact"/>
        <w:ind w:left="1436" w:leftChars="684" w:firstLine="4000" w:firstLineChars="1250"/>
        <w:rPr>
          <w:rFonts w:ascii="仿宋_GB2312" w:hAnsi="仿宋" w:eastAsia="仿宋_GB2312"/>
          <w:color w:val="222222"/>
          <w:kern w:val="0"/>
          <w:sz w:val="32"/>
          <w:szCs w:val="32"/>
        </w:rPr>
      </w:pPr>
    </w:p>
    <w:p>
      <w:pPr>
        <w:spacing w:line="540" w:lineRule="exact"/>
        <w:ind w:left="1436" w:leftChars="684" w:firstLine="4000" w:firstLineChars="1250"/>
        <w:rPr>
          <w:rFonts w:ascii="宋体"/>
          <w:kern w:val="0"/>
          <w:sz w:val="30"/>
          <w:szCs w:val="30"/>
        </w:rPr>
      </w:pPr>
      <w:r>
        <w:rPr>
          <w:rFonts w:ascii="仿宋_GB2312" w:hAnsi="仿宋" w:eastAsia="仿宋_GB2312" w:cs="仿宋_GB2312"/>
          <w:color w:val="222222"/>
          <w:kern w:val="0"/>
          <w:sz w:val="32"/>
          <w:szCs w:val="32"/>
        </w:rPr>
        <w:t xml:space="preserve">               </w:t>
      </w:r>
      <w:r>
        <w:rPr>
          <w:rFonts w:ascii="宋体" w:hAnsi="宋体" w:cs="宋体"/>
          <w:kern w:val="0"/>
          <w:sz w:val="30"/>
          <w:szCs w:val="30"/>
        </w:rPr>
        <w:t xml:space="preserve"> </w:t>
      </w:r>
    </w:p>
    <w:p>
      <w:pPr>
        <w:spacing w:line="560" w:lineRule="exact"/>
        <w:jc w:val="center"/>
        <w:rPr>
          <w:rFonts w:ascii="Times New Roman" w:hAnsi="Times New Roman" w:eastAsia="黑体"/>
          <w:kern w:val="0"/>
          <w:sz w:val="32"/>
          <w:szCs w:val="32"/>
        </w:rPr>
      </w:pPr>
      <w:r>
        <w:rPr>
          <w:rFonts w:ascii="Times New Roman" w:hAnsi="Times New Roman" w:eastAsia="黑体"/>
          <w:sz w:val="28"/>
          <w:szCs w:val="28"/>
        </w:rPr>
        <w:br w:type="page"/>
      </w:r>
      <w:r>
        <w:rPr>
          <w:rFonts w:hint="eastAsia" w:ascii="Times New Roman" w:hAnsi="Times New Roman" w:eastAsia="方正小标宋_GBK" w:cs="方正小标宋_GBK"/>
          <w:kern w:val="0"/>
          <w:sz w:val="36"/>
          <w:szCs w:val="36"/>
        </w:rPr>
        <w:t>部门整体支出绩效评价基础数据表</w:t>
      </w:r>
    </w:p>
    <w:p>
      <w:pPr>
        <w:widowControl/>
        <w:tabs>
          <w:tab w:val="left" w:pos="3611"/>
          <w:tab w:val="left" w:pos="4791"/>
          <w:tab w:val="left" w:pos="5951"/>
          <w:tab w:val="left" w:pos="7071"/>
          <w:tab w:val="left" w:pos="8191"/>
          <w:tab w:val="left" w:pos="9311"/>
        </w:tabs>
        <w:ind w:left="91"/>
        <w:jc w:val="left"/>
        <w:rPr>
          <w:rFonts w:ascii="Times New Roman" w:hAnsi="Times New Roman" w:eastAsia="仿宋"/>
          <w:kern w:val="0"/>
          <w:sz w:val="24"/>
          <w:szCs w:val="24"/>
        </w:rPr>
      </w:pPr>
    </w:p>
    <w:p>
      <w:pPr>
        <w:widowControl/>
        <w:tabs>
          <w:tab w:val="left" w:pos="3611"/>
          <w:tab w:val="left" w:pos="4791"/>
          <w:tab w:val="left" w:pos="5951"/>
          <w:tab w:val="left" w:pos="7071"/>
          <w:tab w:val="left" w:pos="8191"/>
          <w:tab w:val="left" w:pos="9311"/>
        </w:tabs>
        <w:ind w:left="91"/>
        <w:jc w:val="left"/>
        <w:rPr>
          <w:rFonts w:ascii="Times New Roman" w:hAnsi="Times New Roman" w:eastAsia="仿宋_GB2312"/>
          <w:kern w:val="0"/>
          <w:sz w:val="24"/>
          <w:szCs w:val="24"/>
        </w:rPr>
      </w:pPr>
      <w:r>
        <w:rPr>
          <w:rFonts w:hint="eastAsia" w:ascii="Times New Roman" w:hAnsi="Times New Roman" w:eastAsia="仿宋" w:cs="仿宋"/>
          <w:kern w:val="0"/>
          <w:sz w:val="24"/>
          <w:szCs w:val="24"/>
        </w:rPr>
        <w:t>填报单位：常德市产商品质量监督检验所</w:t>
      </w:r>
      <w:r>
        <w:rPr>
          <w:rFonts w:ascii="Times New Roman" w:hAnsi="Times New Roman" w:eastAsia="仿宋_GB2312"/>
          <w:kern w:val="0"/>
          <w:sz w:val="24"/>
          <w:szCs w:val="24"/>
        </w:rPr>
        <w:tab/>
      </w:r>
    </w:p>
    <w:p>
      <w:pPr>
        <w:widowControl/>
        <w:tabs>
          <w:tab w:val="left" w:pos="3611"/>
          <w:tab w:val="left" w:pos="4791"/>
          <w:tab w:val="left" w:pos="5951"/>
          <w:tab w:val="left" w:pos="7071"/>
          <w:tab w:val="left" w:pos="8191"/>
          <w:tab w:val="left" w:pos="9311"/>
        </w:tabs>
        <w:ind w:left="91"/>
        <w:jc w:val="left"/>
        <w:rPr>
          <w:rFonts w:ascii="Times New Roman" w:hAnsi="Times New Roman" w:eastAsia="仿宋_GB2312"/>
          <w:kern w:val="0"/>
          <w:sz w:val="24"/>
          <w:szCs w:val="24"/>
        </w:rPr>
      </w:pPr>
    </w:p>
    <w:p>
      <w:pPr>
        <w:widowControl/>
        <w:tabs>
          <w:tab w:val="left" w:pos="3611"/>
          <w:tab w:val="left" w:pos="4791"/>
          <w:tab w:val="left" w:pos="5951"/>
          <w:tab w:val="left" w:pos="7071"/>
          <w:tab w:val="left" w:pos="8191"/>
          <w:tab w:val="left" w:pos="9311"/>
        </w:tabs>
        <w:ind w:left="91"/>
        <w:jc w:val="left"/>
        <w:rPr>
          <w:rFonts w:ascii="Times New Roman" w:hAnsi="Times New Roman" w:eastAsia="仿宋_GB2312"/>
          <w:kern w:val="0"/>
          <w:sz w:val="24"/>
          <w:szCs w:val="24"/>
        </w:rPr>
      </w:pPr>
    </w:p>
    <w:tbl>
      <w:tblPr>
        <w:tblStyle w:val="2"/>
        <w:tblW w:w="8740" w:type="dxa"/>
        <w:tblInd w:w="2" w:type="dxa"/>
        <w:tblLayout w:type="autofit"/>
        <w:tblCellMar>
          <w:top w:w="0" w:type="dxa"/>
          <w:left w:w="108" w:type="dxa"/>
          <w:bottom w:w="0" w:type="dxa"/>
          <w:right w:w="108" w:type="dxa"/>
        </w:tblCellMar>
      </w:tblPr>
      <w:tblGrid>
        <w:gridCol w:w="2658"/>
        <w:gridCol w:w="822"/>
        <w:gridCol w:w="920"/>
        <w:gridCol w:w="1000"/>
        <w:gridCol w:w="1220"/>
        <w:gridCol w:w="960"/>
        <w:gridCol w:w="1160"/>
      </w:tblGrid>
      <w:tr>
        <w:tblPrEx>
          <w:tblCellMar>
            <w:top w:w="0" w:type="dxa"/>
            <w:left w:w="108" w:type="dxa"/>
            <w:bottom w:w="0" w:type="dxa"/>
            <w:right w:w="108" w:type="dxa"/>
          </w:tblCellMar>
        </w:tblPrEx>
        <w:trPr>
          <w:trHeight w:val="315" w:hRule="atLeast"/>
        </w:trPr>
        <w:tc>
          <w:tcPr>
            <w:tcW w:w="2658"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 w:hAnsi="仿宋" w:eastAsia="仿宋"/>
                <w:color w:val="000000"/>
                <w:kern w:val="0"/>
                <w:sz w:val="24"/>
                <w:szCs w:val="24"/>
              </w:rPr>
            </w:pPr>
            <w:r>
              <w:rPr>
                <w:rFonts w:hint="eastAsia" w:ascii="仿宋" w:hAnsi="仿宋" w:eastAsia="仿宋" w:cs="仿宋"/>
                <w:color w:val="000000"/>
                <w:kern w:val="0"/>
                <w:sz w:val="24"/>
                <w:szCs w:val="24"/>
              </w:rPr>
              <w:t>财政供养人员情况</w:t>
            </w:r>
          </w:p>
        </w:tc>
        <w:tc>
          <w:tcPr>
            <w:tcW w:w="1742"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 w:hAnsi="仿宋" w:eastAsia="仿宋"/>
                <w:color w:val="000000"/>
                <w:kern w:val="0"/>
                <w:sz w:val="24"/>
                <w:szCs w:val="24"/>
              </w:rPr>
            </w:pPr>
            <w:r>
              <w:rPr>
                <w:rFonts w:hint="eastAsia" w:ascii="仿宋" w:hAnsi="仿宋" w:eastAsia="仿宋" w:cs="仿宋"/>
                <w:color w:val="000000"/>
                <w:kern w:val="0"/>
                <w:sz w:val="24"/>
                <w:szCs w:val="24"/>
              </w:rPr>
              <w:t>编制数</w:t>
            </w:r>
          </w:p>
        </w:tc>
        <w:tc>
          <w:tcPr>
            <w:tcW w:w="2220" w:type="dxa"/>
            <w:gridSpan w:val="2"/>
            <w:tcBorders>
              <w:top w:val="single" w:color="auto" w:sz="4" w:space="0"/>
              <w:left w:val="nil"/>
              <w:bottom w:val="nil"/>
              <w:right w:val="single" w:color="auto" w:sz="4" w:space="0"/>
            </w:tcBorders>
            <w:noWrap w:val="0"/>
            <w:vAlign w:val="center"/>
          </w:tcPr>
          <w:p>
            <w:pPr>
              <w:widowControl/>
              <w:jc w:val="center"/>
              <w:rPr>
                <w:rFonts w:ascii="Times New Roman" w:hAnsi="Times New Roman"/>
                <w:color w:val="000000"/>
                <w:kern w:val="0"/>
                <w:sz w:val="24"/>
                <w:szCs w:val="24"/>
              </w:rPr>
            </w:pPr>
            <w:r>
              <w:rPr>
                <w:rFonts w:ascii="Times New Roman" w:hAnsi="Times New Roman"/>
                <w:color w:val="000000"/>
                <w:kern w:val="0"/>
                <w:sz w:val="24"/>
                <w:szCs w:val="24"/>
              </w:rPr>
              <w:t>2020</w:t>
            </w:r>
            <w:r>
              <w:rPr>
                <w:rFonts w:hint="eastAsia" w:ascii="仿宋" w:hAnsi="仿宋" w:eastAsia="仿宋" w:cs="仿宋"/>
                <w:color w:val="000000"/>
                <w:kern w:val="0"/>
                <w:sz w:val="24"/>
                <w:szCs w:val="24"/>
              </w:rPr>
              <w:t>年实际</w:t>
            </w:r>
          </w:p>
        </w:tc>
        <w:tc>
          <w:tcPr>
            <w:tcW w:w="2120"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 w:hAnsi="仿宋" w:eastAsia="仿宋"/>
                <w:color w:val="000000"/>
                <w:kern w:val="0"/>
                <w:sz w:val="24"/>
                <w:szCs w:val="24"/>
              </w:rPr>
            </w:pPr>
            <w:r>
              <w:rPr>
                <w:rFonts w:hint="eastAsia" w:ascii="仿宋" w:hAnsi="仿宋" w:eastAsia="仿宋" w:cs="仿宋"/>
                <w:color w:val="000000"/>
                <w:kern w:val="0"/>
                <w:sz w:val="24"/>
                <w:szCs w:val="24"/>
              </w:rPr>
              <w:t>控制率</w:t>
            </w:r>
          </w:p>
        </w:tc>
      </w:tr>
      <w:tr>
        <w:tblPrEx>
          <w:tblCellMar>
            <w:top w:w="0" w:type="dxa"/>
            <w:left w:w="108" w:type="dxa"/>
            <w:bottom w:w="0" w:type="dxa"/>
            <w:right w:w="108" w:type="dxa"/>
          </w:tblCellMar>
        </w:tblPrEx>
        <w:trPr>
          <w:trHeight w:val="285" w:hRule="atLeast"/>
        </w:trPr>
        <w:tc>
          <w:tcPr>
            <w:tcW w:w="265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 w:hAnsi="仿宋" w:eastAsia="仿宋"/>
                <w:color w:val="000000"/>
                <w:kern w:val="0"/>
                <w:sz w:val="24"/>
                <w:szCs w:val="24"/>
              </w:rPr>
            </w:pPr>
          </w:p>
        </w:tc>
        <w:tc>
          <w:tcPr>
            <w:tcW w:w="1742"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 w:hAnsi="仿宋" w:eastAsia="仿宋"/>
                <w:color w:val="000000"/>
                <w:kern w:val="0"/>
                <w:sz w:val="24"/>
                <w:szCs w:val="24"/>
              </w:rPr>
            </w:pPr>
          </w:p>
        </w:tc>
        <w:tc>
          <w:tcPr>
            <w:tcW w:w="2220" w:type="dxa"/>
            <w:gridSpan w:val="2"/>
            <w:tcBorders>
              <w:top w:val="nil"/>
              <w:left w:val="nil"/>
              <w:bottom w:val="single" w:color="auto" w:sz="4" w:space="0"/>
              <w:right w:val="single" w:color="auto" w:sz="4" w:space="0"/>
            </w:tcBorders>
            <w:noWrap w:val="0"/>
            <w:vAlign w:val="center"/>
          </w:tcPr>
          <w:p>
            <w:pPr>
              <w:widowControl/>
              <w:jc w:val="center"/>
              <w:rPr>
                <w:rFonts w:ascii="仿宋" w:hAnsi="仿宋" w:eastAsia="仿宋"/>
                <w:color w:val="000000"/>
                <w:kern w:val="0"/>
                <w:sz w:val="24"/>
                <w:szCs w:val="24"/>
              </w:rPr>
            </w:pPr>
            <w:r>
              <w:rPr>
                <w:rFonts w:hint="eastAsia" w:ascii="仿宋" w:hAnsi="仿宋" w:eastAsia="仿宋" w:cs="仿宋"/>
                <w:color w:val="000000"/>
                <w:kern w:val="0"/>
                <w:sz w:val="24"/>
                <w:szCs w:val="24"/>
              </w:rPr>
              <w:t>在职人数</w:t>
            </w:r>
          </w:p>
        </w:tc>
        <w:tc>
          <w:tcPr>
            <w:tcW w:w="212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 w:hAnsi="仿宋" w:eastAsia="仿宋"/>
                <w:color w:val="000000"/>
                <w:kern w:val="0"/>
                <w:sz w:val="24"/>
                <w:szCs w:val="24"/>
              </w:rPr>
            </w:pPr>
          </w:p>
        </w:tc>
      </w:tr>
      <w:tr>
        <w:tblPrEx>
          <w:tblCellMar>
            <w:top w:w="0" w:type="dxa"/>
            <w:left w:w="108" w:type="dxa"/>
            <w:bottom w:w="0" w:type="dxa"/>
            <w:right w:w="108" w:type="dxa"/>
          </w:tblCellMar>
        </w:tblPrEx>
        <w:trPr>
          <w:trHeight w:val="315" w:hRule="atLeast"/>
        </w:trPr>
        <w:tc>
          <w:tcPr>
            <w:tcW w:w="265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 w:hAnsi="仿宋" w:eastAsia="仿宋"/>
                <w:color w:val="000000"/>
                <w:kern w:val="0"/>
                <w:sz w:val="24"/>
                <w:szCs w:val="24"/>
              </w:rPr>
            </w:pPr>
          </w:p>
        </w:tc>
        <w:tc>
          <w:tcPr>
            <w:tcW w:w="1742" w:type="dxa"/>
            <w:gridSpan w:val="2"/>
            <w:tcBorders>
              <w:top w:val="single" w:color="auto" w:sz="4" w:space="0"/>
              <w:left w:val="nil"/>
              <w:bottom w:val="single" w:color="auto" w:sz="4" w:space="0"/>
              <w:right w:val="single" w:color="auto" w:sz="4" w:space="0"/>
            </w:tcBorders>
            <w:noWrap w:val="0"/>
            <w:vAlign w:val="center"/>
          </w:tcPr>
          <w:p>
            <w:pPr>
              <w:widowControl/>
              <w:jc w:val="center"/>
              <w:rPr>
                <w:rFonts w:ascii="Times New Roman" w:hAnsi="Times New Roman"/>
                <w:color w:val="000000"/>
                <w:kern w:val="0"/>
                <w:sz w:val="24"/>
                <w:szCs w:val="24"/>
              </w:rPr>
            </w:pPr>
            <w:r>
              <w:rPr>
                <w:rFonts w:ascii="Times New Roman" w:hAnsi="Times New Roman"/>
                <w:color w:val="000000"/>
                <w:kern w:val="0"/>
                <w:sz w:val="24"/>
                <w:szCs w:val="24"/>
              </w:rPr>
              <w:t>22</w:t>
            </w:r>
          </w:p>
        </w:tc>
        <w:tc>
          <w:tcPr>
            <w:tcW w:w="2220" w:type="dxa"/>
            <w:gridSpan w:val="2"/>
            <w:tcBorders>
              <w:top w:val="single" w:color="auto" w:sz="4" w:space="0"/>
              <w:left w:val="nil"/>
              <w:bottom w:val="single" w:color="auto" w:sz="4" w:space="0"/>
              <w:right w:val="single" w:color="auto" w:sz="4" w:space="0"/>
            </w:tcBorders>
            <w:noWrap w:val="0"/>
            <w:vAlign w:val="center"/>
          </w:tcPr>
          <w:p>
            <w:pPr>
              <w:widowControl/>
              <w:jc w:val="center"/>
              <w:rPr>
                <w:rFonts w:ascii="仿宋" w:hAnsi="仿宋" w:eastAsia="仿宋" w:cs="仿宋"/>
                <w:color w:val="000000"/>
                <w:kern w:val="0"/>
                <w:sz w:val="24"/>
                <w:szCs w:val="24"/>
              </w:rPr>
            </w:pPr>
            <w:r>
              <w:rPr>
                <w:rFonts w:ascii="仿宋" w:hAnsi="仿宋" w:eastAsia="仿宋" w:cs="仿宋"/>
                <w:color w:val="000000"/>
                <w:kern w:val="0"/>
                <w:sz w:val="24"/>
                <w:szCs w:val="24"/>
              </w:rPr>
              <w:t>22</w:t>
            </w:r>
          </w:p>
        </w:tc>
        <w:tc>
          <w:tcPr>
            <w:tcW w:w="2120" w:type="dxa"/>
            <w:gridSpan w:val="2"/>
            <w:tcBorders>
              <w:top w:val="single" w:color="auto" w:sz="4" w:space="0"/>
              <w:left w:val="nil"/>
              <w:bottom w:val="single" w:color="auto" w:sz="4" w:space="0"/>
              <w:right w:val="single" w:color="auto" w:sz="4" w:space="0"/>
            </w:tcBorders>
            <w:noWrap w:val="0"/>
            <w:vAlign w:val="center"/>
          </w:tcPr>
          <w:p>
            <w:pPr>
              <w:widowControl/>
              <w:jc w:val="center"/>
              <w:rPr>
                <w:rFonts w:ascii="Times New Roman" w:hAnsi="Times New Roman"/>
                <w:color w:val="000000"/>
                <w:kern w:val="0"/>
                <w:sz w:val="24"/>
                <w:szCs w:val="24"/>
              </w:rPr>
            </w:pPr>
            <w:r>
              <w:rPr>
                <w:rFonts w:ascii="Times New Roman" w:hAnsi="Times New Roman"/>
                <w:color w:val="000000"/>
                <w:kern w:val="0"/>
                <w:sz w:val="24"/>
                <w:szCs w:val="24"/>
              </w:rPr>
              <w:t>100%</w:t>
            </w:r>
          </w:p>
        </w:tc>
      </w:tr>
      <w:tr>
        <w:tblPrEx>
          <w:tblCellMar>
            <w:top w:w="0" w:type="dxa"/>
            <w:left w:w="108" w:type="dxa"/>
            <w:bottom w:w="0" w:type="dxa"/>
            <w:right w:w="108" w:type="dxa"/>
          </w:tblCellMar>
        </w:tblPrEx>
        <w:trPr>
          <w:trHeight w:val="345" w:hRule="atLeast"/>
        </w:trPr>
        <w:tc>
          <w:tcPr>
            <w:tcW w:w="2658" w:type="dxa"/>
            <w:tcBorders>
              <w:top w:val="nil"/>
              <w:left w:val="single" w:color="auto" w:sz="4" w:space="0"/>
              <w:bottom w:val="single" w:color="auto" w:sz="4" w:space="0"/>
              <w:right w:val="single" w:color="auto" w:sz="4" w:space="0"/>
            </w:tcBorders>
            <w:noWrap w:val="0"/>
            <w:vAlign w:val="center"/>
          </w:tcPr>
          <w:p>
            <w:pPr>
              <w:widowControl/>
              <w:jc w:val="center"/>
              <w:rPr>
                <w:rFonts w:ascii="黑体" w:hAnsi="黑体" w:eastAsia="黑体"/>
                <w:color w:val="000000"/>
                <w:kern w:val="0"/>
                <w:sz w:val="24"/>
                <w:szCs w:val="24"/>
              </w:rPr>
            </w:pPr>
            <w:r>
              <w:rPr>
                <w:rFonts w:hint="eastAsia" w:ascii="黑体" w:hAnsi="黑体" w:eastAsia="黑体" w:cs="黑体"/>
                <w:color w:val="000000"/>
                <w:kern w:val="0"/>
                <w:sz w:val="24"/>
                <w:szCs w:val="24"/>
              </w:rPr>
              <w:t>经费控制情况</w:t>
            </w:r>
          </w:p>
        </w:tc>
        <w:tc>
          <w:tcPr>
            <w:tcW w:w="1742" w:type="dxa"/>
            <w:gridSpan w:val="2"/>
            <w:tcBorders>
              <w:top w:val="single" w:color="auto" w:sz="4" w:space="0"/>
              <w:left w:val="nil"/>
              <w:bottom w:val="single" w:color="auto" w:sz="4" w:space="0"/>
              <w:right w:val="single" w:color="auto" w:sz="4" w:space="0"/>
            </w:tcBorders>
            <w:noWrap w:val="0"/>
            <w:vAlign w:val="center"/>
          </w:tcPr>
          <w:p>
            <w:pPr>
              <w:widowControl/>
              <w:jc w:val="center"/>
              <w:rPr>
                <w:rFonts w:ascii="黑体" w:hAnsi="黑体" w:eastAsia="黑体" w:cs="黑体"/>
                <w:color w:val="000000"/>
                <w:kern w:val="0"/>
                <w:sz w:val="24"/>
                <w:szCs w:val="24"/>
              </w:rPr>
            </w:pPr>
            <w:r>
              <w:rPr>
                <w:rFonts w:ascii="黑体" w:hAnsi="黑体" w:eastAsia="黑体" w:cs="黑体"/>
                <w:color w:val="000000"/>
                <w:kern w:val="0"/>
                <w:sz w:val="24"/>
                <w:szCs w:val="24"/>
              </w:rPr>
              <w:t>2019</w:t>
            </w:r>
            <w:r>
              <w:rPr>
                <w:rFonts w:hint="eastAsia" w:ascii="黑体" w:hAnsi="黑体" w:eastAsia="黑体" w:cs="黑体"/>
                <w:color w:val="000000"/>
                <w:kern w:val="0"/>
                <w:sz w:val="24"/>
                <w:szCs w:val="24"/>
              </w:rPr>
              <w:t>年决算数</w:t>
            </w:r>
            <w:r>
              <w:rPr>
                <w:rFonts w:ascii="黑体" w:hAnsi="黑体" w:eastAsia="黑体" w:cs="黑体"/>
                <w:color w:val="000000"/>
                <w:kern w:val="0"/>
                <w:sz w:val="24"/>
                <w:szCs w:val="24"/>
              </w:rPr>
              <w:t>(</w:t>
            </w:r>
            <w:r>
              <w:rPr>
                <w:rFonts w:hint="eastAsia" w:ascii="黑体" w:hAnsi="黑体" w:eastAsia="黑体" w:cs="黑体"/>
                <w:color w:val="000000"/>
                <w:kern w:val="0"/>
                <w:sz w:val="24"/>
                <w:szCs w:val="24"/>
              </w:rPr>
              <w:t>元</w:t>
            </w:r>
            <w:r>
              <w:rPr>
                <w:rFonts w:ascii="黑体" w:hAnsi="黑体" w:eastAsia="黑体" w:cs="黑体"/>
                <w:color w:val="000000"/>
                <w:kern w:val="0"/>
                <w:sz w:val="24"/>
                <w:szCs w:val="24"/>
              </w:rPr>
              <w:t>)</w:t>
            </w:r>
          </w:p>
        </w:tc>
        <w:tc>
          <w:tcPr>
            <w:tcW w:w="2220" w:type="dxa"/>
            <w:gridSpan w:val="2"/>
            <w:tcBorders>
              <w:top w:val="single" w:color="auto" w:sz="4" w:space="0"/>
              <w:left w:val="nil"/>
              <w:bottom w:val="single" w:color="auto" w:sz="4" w:space="0"/>
              <w:right w:val="single" w:color="auto" w:sz="4" w:space="0"/>
            </w:tcBorders>
            <w:noWrap w:val="0"/>
            <w:vAlign w:val="center"/>
          </w:tcPr>
          <w:p>
            <w:pPr>
              <w:widowControl/>
              <w:jc w:val="center"/>
              <w:rPr>
                <w:rFonts w:ascii="黑体" w:hAnsi="黑体" w:eastAsia="黑体" w:cs="黑体"/>
                <w:color w:val="000000"/>
                <w:kern w:val="0"/>
                <w:sz w:val="24"/>
                <w:szCs w:val="24"/>
              </w:rPr>
            </w:pPr>
            <w:r>
              <w:rPr>
                <w:rFonts w:ascii="黑体" w:hAnsi="黑体" w:eastAsia="黑体" w:cs="黑体"/>
                <w:color w:val="000000"/>
                <w:kern w:val="0"/>
                <w:sz w:val="24"/>
                <w:szCs w:val="24"/>
              </w:rPr>
              <w:t>2020</w:t>
            </w:r>
            <w:r>
              <w:rPr>
                <w:rFonts w:hint="eastAsia" w:ascii="黑体" w:hAnsi="黑体" w:eastAsia="黑体" w:cs="黑体"/>
                <w:color w:val="000000"/>
                <w:kern w:val="0"/>
                <w:sz w:val="24"/>
                <w:szCs w:val="24"/>
              </w:rPr>
              <w:t>年预算数</w:t>
            </w:r>
            <w:r>
              <w:rPr>
                <w:rFonts w:ascii="黑体" w:hAnsi="黑体" w:eastAsia="黑体" w:cs="黑体"/>
                <w:color w:val="000000"/>
                <w:kern w:val="0"/>
                <w:sz w:val="24"/>
                <w:szCs w:val="24"/>
              </w:rPr>
              <w:t>(</w:t>
            </w:r>
            <w:r>
              <w:rPr>
                <w:rFonts w:hint="eastAsia" w:ascii="黑体" w:hAnsi="黑体" w:eastAsia="黑体" w:cs="黑体"/>
                <w:color w:val="000000"/>
                <w:kern w:val="0"/>
                <w:sz w:val="24"/>
                <w:szCs w:val="24"/>
              </w:rPr>
              <w:t>元</w:t>
            </w:r>
            <w:r>
              <w:rPr>
                <w:rFonts w:ascii="黑体" w:hAnsi="黑体" w:eastAsia="黑体" w:cs="黑体"/>
                <w:color w:val="000000"/>
                <w:kern w:val="0"/>
                <w:sz w:val="24"/>
                <w:szCs w:val="24"/>
              </w:rPr>
              <w:t>)</w:t>
            </w:r>
          </w:p>
        </w:tc>
        <w:tc>
          <w:tcPr>
            <w:tcW w:w="2120" w:type="dxa"/>
            <w:gridSpan w:val="2"/>
            <w:tcBorders>
              <w:top w:val="single" w:color="auto" w:sz="4" w:space="0"/>
              <w:left w:val="nil"/>
              <w:bottom w:val="single" w:color="auto" w:sz="4" w:space="0"/>
              <w:right w:val="single" w:color="auto" w:sz="4" w:space="0"/>
            </w:tcBorders>
            <w:noWrap w:val="0"/>
            <w:vAlign w:val="center"/>
          </w:tcPr>
          <w:p>
            <w:pPr>
              <w:widowControl/>
              <w:jc w:val="center"/>
              <w:rPr>
                <w:rFonts w:ascii="黑体" w:hAnsi="黑体" w:eastAsia="黑体" w:cs="黑体"/>
                <w:color w:val="000000"/>
                <w:kern w:val="0"/>
                <w:sz w:val="24"/>
                <w:szCs w:val="24"/>
              </w:rPr>
            </w:pPr>
            <w:r>
              <w:rPr>
                <w:rFonts w:ascii="黑体" w:hAnsi="黑体" w:eastAsia="黑体" w:cs="黑体"/>
                <w:color w:val="000000"/>
                <w:kern w:val="0"/>
                <w:sz w:val="24"/>
                <w:szCs w:val="24"/>
              </w:rPr>
              <w:t>2020</w:t>
            </w:r>
            <w:r>
              <w:rPr>
                <w:rFonts w:hint="eastAsia" w:ascii="黑体" w:hAnsi="黑体" w:eastAsia="黑体" w:cs="黑体"/>
                <w:color w:val="000000"/>
                <w:kern w:val="0"/>
                <w:sz w:val="24"/>
                <w:szCs w:val="24"/>
              </w:rPr>
              <w:t>年决算数</w:t>
            </w:r>
            <w:r>
              <w:rPr>
                <w:rFonts w:ascii="黑体" w:hAnsi="黑体" w:eastAsia="黑体" w:cs="黑体"/>
                <w:color w:val="000000"/>
                <w:kern w:val="0"/>
                <w:sz w:val="24"/>
                <w:szCs w:val="24"/>
              </w:rPr>
              <w:t>(</w:t>
            </w:r>
            <w:r>
              <w:rPr>
                <w:rFonts w:hint="eastAsia" w:ascii="黑体" w:hAnsi="黑体" w:eastAsia="黑体" w:cs="黑体"/>
                <w:color w:val="000000"/>
                <w:kern w:val="0"/>
                <w:sz w:val="24"/>
                <w:szCs w:val="24"/>
              </w:rPr>
              <w:t>元</w:t>
            </w:r>
            <w:r>
              <w:rPr>
                <w:rFonts w:ascii="黑体" w:hAnsi="黑体" w:eastAsia="黑体" w:cs="黑体"/>
                <w:color w:val="000000"/>
                <w:kern w:val="0"/>
                <w:sz w:val="24"/>
                <w:szCs w:val="24"/>
              </w:rPr>
              <w:t>)</w:t>
            </w:r>
          </w:p>
        </w:tc>
      </w:tr>
      <w:tr>
        <w:tblPrEx>
          <w:tblCellMar>
            <w:top w:w="0" w:type="dxa"/>
            <w:left w:w="108" w:type="dxa"/>
            <w:bottom w:w="0" w:type="dxa"/>
            <w:right w:w="108" w:type="dxa"/>
          </w:tblCellMar>
        </w:tblPrEx>
        <w:trPr>
          <w:trHeight w:val="345" w:hRule="atLeast"/>
        </w:trPr>
        <w:tc>
          <w:tcPr>
            <w:tcW w:w="2658" w:type="dxa"/>
            <w:tcBorders>
              <w:top w:val="nil"/>
              <w:left w:val="single" w:color="auto" w:sz="4" w:space="0"/>
              <w:bottom w:val="single" w:color="auto" w:sz="4" w:space="0"/>
              <w:right w:val="single" w:color="auto" w:sz="4" w:space="0"/>
            </w:tcBorders>
            <w:noWrap w:val="0"/>
            <w:vAlign w:val="center"/>
          </w:tcPr>
          <w:p>
            <w:pPr>
              <w:widowControl/>
              <w:jc w:val="left"/>
              <w:rPr>
                <w:rFonts w:ascii="仿宋" w:hAnsi="仿宋" w:eastAsia="仿宋"/>
                <w:color w:val="000000"/>
                <w:kern w:val="0"/>
                <w:sz w:val="24"/>
                <w:szCs w:val="24"/>
              </w:rPr>
            </w:pPr>
            <w:r>
              <w:rPr>
                <w:rFonts w:hint="eastAsia" w:ascii="仿宋" w:hAnsi="仿宋" w:eastAsia="仿宋" w:cs="仿宋"/>
                <w:color w:val="000000"/>
                <w:kern w:val="0"/>
                <w:sz w:val="24"/>
                <w:szCs w:val="24"/>
              </w:rPr>
              <w:t>三公经费</w:t>
            </w:r>
          </w:p>
        </w:tc>
        <w:tc>
          <w:tcPr>
            <w:tcW w:w="1742" w:type="dxa"/>
            <w:gridSpan w:val="2"/>
            <w:tcBorders>
              <w:top w:val="single" w:color="auto" w:sz="4" w:space="0"/>
              <w:left w:val="nil"/>
              <w:bottom w:val="single" w:color="auto" w:sz="4" w:space="0"/>
              <w:right w:val="single" w:color="auto" w:sz="4" w:space="0"/>
            </w:tcBorders>
            <w:noWrap w:val="0"/>
            <w:vAlign w:val="center"/>
          </w:tcPr>
          <w:p>
            <w:pPr>
              <w:widowControl/>
              <w:jc w:val="center"/>
              <w:rPr>
                <w:rFonts w:ascii="Times New Roman" w:hAnsi="Times New Roman"/>
                <w:color w:val="000000"/>
                <w:kern w:val="0"/>
                <w:sz w:val="24"/>
                <w:szCs w:val="24"/>
              </w:rPr>
            </w:pPr>
            <w:r>
              <w:rPr>
                <w:rFonts w:ascii="Times New Roman" w:hAnsi="Times New Roman"/>
                <w:color w:val="000000"/>
                <w:kern w:val="0"/>
                <w:sz w:val="24"/>
                <w:szCs w:val="24"/>
              </w:rPr>
              <w:t xml:space="preserve">111,891.30 </w:t>
            </w:r>
          </w:p>
        </w:tc>
        <w:tc>
          <w:tcPr>
            <w:tcW w:w="2220" w:type="dxa"/>
            <w:gridSpan w:val="2"/>
            <w:tcBorders>
              <w:top w:val="single" w:color="auto" w:sz="4" w:space="0"/>
              <w:left w:val="nil"/>
              <w:bottom w:val="single" w:color="auto" w:sz="4" w:space="0"/>
              <w:right w:val="single" w:color="auto" w:sz="4" w:space="0"/>
            </w:tcBorders>
            <w:noWrap w:val="0"/>
            <w:vAlign w:val="bottom"/>
          </w:tcPr>
          <w:p>
            <w:pPr>
              <w:widowControl/>
              <w:jc w:val="center"/>
              <w:rPr>
                <w:rFonts w:ascii="Times New Roman" w:hAnsi="Times New Roman"/>
                <w:color w:val="000000"/>
                <w:kern w:val="0"/>
                <w:sz w:val="24"/>
                <w:szCs w:val="24"/>
              </w:rPr>
            </w:pPr>
            <w:r>
              <w:rPr>
                <w:rFonts w:ascii="Times New Roman" w:hAnsi="Times New Roman"/>
                <w:color w:val="000000"/>
                <w:kern w:val="0"/>
                <w:sz w:val="24"/>
                <w:szCs w:val="24"/>
              </w:rPr>
              <w:t xml:space="preserve">130,000.00 </w:t>
            </w:r>
          </w:p>
        </w:tc>
        <w:tc>
          <w:tcPr>
            <w:tcW w:w="2120" w:type="dxa"/>
            <w:gridSpan w:val="2"/>
            <w:tcBorders>
              <w:top w:val="single" w:color="auto" w:sz="4" w:space="0"/>
              <w:left w:val="nil"/>
              <w:bottom w:val="single" w:color="auto" w:sz="4" w:space="0"/>
              <w:right w:val="single" w:color="auto" w:sz="4" w:space="0"/>
            </w:tcBorders>
            <w:noWrap w:val="0"/>
            <w:vAlign w:val="bottom"/>
          </w:tcPr>
          <w:p>
            <w:pPr>
              <w:widowControl/>
              <w:jc w:val="center"/>
              <w:rPr>
                <w:rFonts w:ascii="Times New Roman" w:hAnsi="Times New Roman"/>
                <w:color w:val="000000"/>
                <w:kern w:val="0"/>
                <w:sz w:val="24"/>
                <w:szCs w:val="24"/>
              </w:rPr>
            </w:pPr>
            <w:r>
              <w:rPr>
                <w:rFonts w:ascii="Times New Roman" w:hAnsi="Times New Roman"/>
                <w:color w:val="000000"/>
                <w:kern w:val="0"/>
                <w:sz w:val="24"/>
                <w:szCs w:val="24"/>
              </w:rPr>
              <w:t xml:space="preserve">96,016.70 </w:t>
            </w:r>
          </w:p>
        </w:tc>
      </w:tr>
      <w:tr>
        <w:tblPrEx>
          <w:tblCellMar>
            <w:top w:w="0" w:type="dxa"/>
            <w:left w:w="108" w:type="dxa"/>
            <w:bottom w:w="0" w:type="dxa"/>
            <w:right w:w="108" w:type="dxa"/>
          </w:tblCellMar>
        </w:tblPrEx>
        <w:trPr>
          <w:trHeight w:val="645" w:hRule="atLeast"/>
        </w:trPr>
        <w:tc>
          <w:tcPr>
            <w:tcW w:w="2658" w:type="dxa"/>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000000"/>
                <w:kern w:val="0"/>
                <w:sz w:val="24"/>
                <w:szCs w:val="24"/>
              </w:rPr>
            </w:pPr>
            <w:r>
              <w:rPr>
                <w:rFonts w:ascii="Times New Roman" w:hAnsi="Times New Roman"/>
                <w:color w:val="000000"/>
                <w:kern w:val="0"/>
                <w:sz w:val="24"/>
                <w:szCs w:val="24"/>
              </w:rPr>
              <w:t xml:space="preserve">  1.</w:t>
            </w:r>
            <w:r>
              <w:rPr>
                <w:rFonts w:hint="eastAsia" w:ascii="仿宋" w:hAnsi="仿宋" w:eastAsia="仿宋" w:cs="仿宋"/>
                <w:color w:val="000000"/>
                <w:kern w:val="0"/>
                <w:sz w:val="24"/>
                <w:szCs w:val="24"/>
              </w:rPr>
              <w:t>公务用车购置和维护经费</w:t>
            </w:r>
          </w:p>
        </w:tc>
        <w:tc>
          <w:tcPr>
            <w:tcW w:w="1742" w:type="dxa"/>
            <w:gridSpan w:val="2"/>
            <w:tcBorders>
              <w:top w:val="single" w:color="auto" w:sz="4" w:space="0"/>
              <w:left w:val="nil"/>
              <w:bottom w:val="single" w:color="auto" w:sz="4" w:space="0"/>
              <w:right w:val="single" w:color="auto" w:sz="4" w:space="0"/>
            </w:tcBorders>
            <w:noWrap w:val="0"/>
            <w:vAlign w:val="center"/>
          </w:tcPr>
          <w:p>
            <w:pPr>
              <w:widowControl/>
              <w:jc w:val="center"/>
              <w:rPr>
                <w:rFonts w:ascii="Times New Roman" w:hAnsi="Times New Roman"/>
                <w:color w:val="000000"/>
                <w:kern w:val="0"/>
                <w:sz w:val="24"/>
                <w:szCs w:val="24"/>
              </w:rPr>
            </w:pPr>
            <w:r>
              <w:rPr>
                <w:rFonts w:ascii="Times New Roman" w:hAnsi="Times New Roman"/>
                <w:color w:val="000000"/>
                <w:kern w:val="0"/>
                <w:sz w:val="24"/>
                <w:szCs w:val="24"/>
              </w:rPr>
              <w:t xml:space="preserve">107,515.30 </w:t>
            </w:r>
          </w:p>
        </w:tc>
        <w:tc>
          <w:tcPr>
            <w:tcW w:w="2220" w:type="dxa"/>
            <w:gridSpan w:val="2"/>
            <w:tcBorders>
              <w:top w:val="single" w:color="auto" w:sz="4" w:space="0"/>
              <w:left w:val="nil"/>
              <w:bottom w:val="single" w:color="auto" w:sz="4" w:space="0"/>
              <w:right w:val="single" w:color="auto" w:sz="4" w:space="0"/>
            </w:tcBorders>
            <w:noWrap w:val="0"/>
            <w:vAlign w:val="bottom"/>
          </w:tcPr>
          <w:p>
            <w:pPr>
              <w:widowControl/>
              <w:jc w:val="center"/>
              <w:rPr>
                <w:rFonts w:ascii="Times New Roman" w:hAnsi="Times New Roman"/>
                <w:color w:val="000000"/>
                <w:kern w:val="0"/>
                <w:sz w:val="24"/>
                <w:szCs w:val="24"/>
              </w:rPr>
            </w:pPr>
            <w:r>
              <w:rPr>
                <w:rFonts w:ascii="Times New Roman" w:hAnsi="Times New Roman"/>
                <w:color w:val="000000"/>
                <w:kern w:val="0"/>
                <w:sz w:val="24"/>
                <w:szCs w:val="24"/>
              </w:rPr>
              <w:t xml:space="preserve">105,000.00 </w:t>
            </w:r>
          </w:p>
        </w:tc>
        <w:tc>
          <w:tcPr>
            <w:tcW w:w="2120" w:type="dxa"/>
            <w:gridSpan w:val="2"/>
            <w:tcBorders>
              <w:top w:val="single" w:color="auto" w:sz="4" w:space="0"/>
              <w:left w:val="nil"/>
              <w:bottom w:val="single" w:color="auto" w:sz="4" w:space="0"/>
              <w:right w:val="single" w:color="auto" w:sz="4" w:space="0"/>
            </w:tcBorders>
            <w:noWrap w:val="0"/>
            <w:vAlign w:val="bottom"/>
          </w:tcPr>
          <w:p>
            <w:pPr>
              <w:widowControl/>
              <w:jc w:val="center"/>
              <w:rPr>
                <w:rFonts w:ascii="Times New Roman" w:hAnsi="Times New Roman"/>
                <w:color w:val="000000"/>
                <w:kern w:val="0"/>
                <w:sz w:val="24"/>
                <w:szCs w:val="24"/>
              </w:rPr>
            </w:pPr>
            <w:r>
              <w:rPr>
                <w:rFonts w:ascii="Times New Roman" w:hAnsi="Times New Roman"/>
                <w:color w:val="000000"/>
                <w:kern w:val="0"/>
                <w:sz w:val="24"/>
                <w:szCs w:val="24"/>
              </w:rPr>
              <w:t xml:space="preserve">92,079.70 </w:t>
            </w:r>
          </w:p>
        </w:tc>
      </w:tr>
      <w:tr>
        <w:tblPrEx>
          <w:tblCellMar>
            <w:top w:w="0" w:type="dxa"/>
            <w:left w:w="108" w:type="dxa"/>
            <w:bottom w:w="0" w:type="dxa"/>
            <w:right w:w="108" w:type="dxa"/>
          </w:tblCellMar>
        </w:tblPrEx>
        <w:trPr>
          <w:trHeight w:val="345" w:hRule="atLeast"/>
        </w:trPr>
        <w:tc>
          <w:tcPr>
            <w:tcW w:w="2658" w:type="dxa"/>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000000"/>
                <w:kern w:val="0"/>
                <w:sz w:val="24"/>
                <w:szCs w:val="24"/>
              </w:rPr>
            </w:pPr>
            <w:r>
              <w:rPr>
                <w:rFonts w:ascii="Times New Roman" w:hAnsi="Times New Roman"/>
                <w:color w:val="000000"/>
                <w:kern w:val="0"/>
                <w:sz w:val="24"/>
                <w:szCs w:val="24"/>
              </w:rPr>
              <w:t xml:space="preserve">       </w:t>
            </w:r>
            <w:r>
              <w:rPr>
                <w:rFonts w:hint="eastAsia" w:ascii="仿宋" w:hAnsi="仿宋" w:eastAsia="仿宋" w:cs="仿宋"/>
                <w:color w:val="000000"/>
                <w:kern w:val="0"/>
                <w:sz w:val="24"/>
                <w:szCs w:val="24"/>
              </w:rPr>
              <w:t>其中：公车购置</w:t>
            </w:r>
          </w:p>
        </w:tc>
        <w:tc>
          <w:tcPr>
            <w:tcW w:w="1742" w:type="dxa"/>
            <w:gridSpan w:val="2"/>
            <w:tcBorders>
              <w:top w:val="single" w:color="auto" w:sz="4" w:space="0"/>
              <w:left w:val="nil"/>
              <w:bottom w:val="single" w:color="auto" w:sz="4" w:space="0"/>
              <w:right w:val="single" w:color="auto" w:sz="4" w:space="0"/>
            </w:tcBorders>
            <w:noWrap w:val="0"/>
            <w:vAlign w:val="center"/>
          </w:tcPr>
          <w:p>
            <w:pPr>
              <w:widowControl/>
              <w:jc w:val="center"/>
              <w:rPr>
                <w:rFonts w:ascii="Times New Roman" w:hAnsi="Times New Roman"/>
                <w:color w:val="000000"/>
                <w:kern w:val="0"/>
                <w:sz w:val="24"/>
                <w:szCs w:val="24"/>
              </w:rPr>
            </w:pPr>
            <w:r>
              <w:rPr>
                <w:rFonts w:ascii="Times New Roman" w:hAnsi="Times New Roman"/>
                <w:color w:val="000000"/>
                <w:kern w:val="0"/>
                <w:sz w:val="24"/>
                <w:szCs w:val="24"/>
              </w:rPr>
              <w:t xml:space="preserve">0.00 </w:t>
            </w:r>
          </w:p>
        </w:tc>
        <w:tc>
          <w:tcPr>
            <w:tcW w:w="2220" w:type="dxa"/>
            <w:gridSpan w:val="2"/>
            <w:tcBorders>
              <w:top w:val="single" w:color="auto" w:sz="4" w:space="0"/>
              <w:left w:val="nil"/>
              <w:bottom w:val="single" w:color="auto" w:sz="4" w:space="0"/>
              <w:right w:val="single" w:color="auto" w:sz="4" w:space="0"/>
            </w:tcBorders>
            <w:noWrap w:val="0"/>
            <w:vAlign w:val="bottom"/>
          </w:tcPr>
          <w:p>
            <w:pPr>
              <w:widowControl/>
              <w:jc w:val="center"/>
              <w:rPr>
                <w:rFonts w:ascii="Times New Roman" w:hAnsi="Times New Roman"/>
                <w:color w:val="000000"/>
                <w:kern w:val="0"/>
                <w:sz w:val="24"/>
                <w:szCs w:val="24"/>
              </w:rPr>
            </w:pPr>
            <w:r>
              <w:rPr>
                <w:rFonts w:hint="eastAsia" w:ascii="Times New Roman" w:hAnsi="Times New Roman" w:cs="宋体"/>
                <w:color w:val="000000"/>
                <w:kern w:val="0"/>
                <w:sz w:val="24"/>
                <w:szCs w:val="24"/>
              </w:rPr>
              <w:t>　</w:t>
            </w:r>
          </w:p>
        </w:tc>
        <w:tc>
          <w:tcPr>
            <w:tcW w:w="2120" w:type="dxa"/>
            <w:gridSpan w:val="2"/>
            <w:tcBorders>
              <w:top w:val="single" w:color="auto" w:sz="4" w:space="0"/>
              <w:left w:val="nil"/>
              <w:bottom w:val="single" w:color="auto" w:sz="4" w:space="0"/>
              <w:right w:val="single" w:color="auto" w:sz="4" w:space="0"/>
            </w:tcBorders>
            <w:noWrap w:val="0"/>
            <w:vAlign w:val="bottom"/>
          </w:tcPr>
          <w:p>
            <w:pPr>
              <w:widowControl/>
              <w:jc w:val="center"/>
              <w:rPr>
                <w:rFonts w:ascii="Times New Roman" w:hAnsi="Times New Roman"/>
                <w:color w:val="000000"/>
                <w:kern w:val="0"/>
                <w:sz w:val="24"/>
                <w:szCs w:val="24"/>
              </w:rPr>
            </w:pPr>
            <w:r>
              <w:rPr>
                <w:rFonts w:hint="eastAsia" w:ascii="Times New Roman" w:hAnsi="Times New Roman" w:cs="宋体"/>
                <w:color w:val="000000"/>
                <w:kern w:val="0"/>
                <w:sz w:val="24"/>
                <w:szCs w:val="24"/>
              </w:rPr>
              <w:t>　</w:t>
            </w:r>
          </w:p>
        </w:tc>
      </w:tr>
      <w:tr>
        <w:tblPrEx>
          <w:tblCellMar>
            <w:top w:w="0" w:type="dxa"/>
            <w:left w:w="108" w:type="dxa"/>
            <w:bottom w:w="0" w:type="dxa"/>
            <w:right w:w="108" w:type="dxa"/>
          </w:tblCellMar>
        </w:tblPrEx>
        <w:trPr>
          <w:trHeight w:val="345" w:hRule="atLeast"/>
        </w:trPr>
        <w:tc>
          <w:tcPr>
            <w:tcW w:w="2658" w:type="dxa"/>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000000"/>
                <w:kern w:val="0"/>
                <w:sz w:val="24"/>
                <w:szCs w:val="24"/>
              </w:rPr>
            </w:pPr>
            <w:r>
              <w:rPr>
                <w:rFonts w:ascii="Times New Roman" w:hAnsi="Times New Roman"/>
                <w:color w:val="000000"/>
                <w:kern w:val="0"/>
                <w:sz w:val="24"/>
                <w:szCs w:val="24"/>
              </w:rPr>
              <w:t xml:space="preserve">             </w:t>
            </w:r>
            <w:r>
              <w:rPr>
                <w:rFonts w:hint="eastAsia" w:ascii="仿宋" w:hAnsi="仿宋" w:eastAsia="仿宋" w:cs="仿宋"/>
                <w:color w:val="000000"/>
                <w:kern w:val="0"/>
                <w:sz w:val="24"/>
                <w:szCs w:val="24"/>
              </w:rPr>
              <w:t>公车运行维护</w:t>
            </w:r>
          </w:p>
        </w:tc>
        <w:tc>
          <w:tcPr>
            <w:tcW w:w="1742" w:type="dxa"/>
            <w:gridSpan w:val="2"/>
            <w:tcBorders>
              <w:top w:val="single" w:color="auto" w:sz="4" w:space="0"/>
              <w:left w:val="nil"/>
              <w:bottom w:val="single" w:color="auto" w:sz="4" w:space="0"/>
              <w:right w:val="single" w:color="auto" w:sz="4" w:space="0"/>
            </w:tcBorders>
            <w:noWrap w:val="0"/>
            <w:vAlign w:val="center"/>
          </w:tcPr>
          <w:p>
            <w:pPr>
              <w:widowControl/>
              <w:jc w:val="center"/>
              <w:rPr>
                <w:rFonts w:ascii="Times New Roman" w:hAnsi="Times New Roman"/>
                <w:color w:val="000000"/>
                <w:kern w:val="0"/>
                <w:sz w:val="24"/>
                <w:szCs w:val="24"/>
              </w:rPr>
            </w:pPr>
            <w:r>
              <w:rPr>
                <w:rFonts w:ascii="Times New Roman" w:hAnsi="Times New Roman"/>
                <w:color w:val="000000"/>
                <w:kern w:val="0"/>
                <w:sz w:val="24"/>
                <w:szCs w:val="24"/>
              </w:rPr>
              <w:t xml:space="preserve">107,515.30 </w:t>
            </w:r>
          </w:p>
        </w:tc>
        <w:tc>
          <w:tcPr>
            <w:tcW w:w="2220" w:type="dxa"/>
            <w:gridSpan w:val="2"/>
            <w:tcBorders>
              <w:top w:val="single" w:color="auto" w:sz="4" w:space="0"/>
              <w:left w:val="nil"/>
              <w:bottom w:val="single" w:color="auto" w:sz="4" w:space="0"/>
              <w:right w:val="single" w:color="auto" w:sz="4" w:space="0"/>
            </w:tcBorders>
            <w:noWrap w:val="0"/>
            <w:vAlign w:val="bottom"/>
          </w:tcPr>
          <w:p>
            <w:pPr>
              <w:widowControl/>
              <w:jc w:val="center"/>
              <w:rPr>
                <w:rFonts w:ascii="Times New Roman" w:hAnsi="Times New Roman"/>
                <w:color w:val="000000"/>
                <w:kern w:val="0"/>
                <w:sz w:val="24"/>
                <w:szCs w:val="24"/>
              </w:rPr>
            </w:pPr>
            <w:r>
              <w:rPr>
                <w:rFonts w:ascii="Times New Roman" w:hAnsi="Times New Roman"/>
                <w:color w:val="000000"/>
                <w:kern w:val="0"/>
                <w:sz w:val="24"/>
                <w:szCs w:val="24"/>
              </w:rPr>
              <w:t>105,000.00</w:t>
            </w:r>
          </w:p>
        </w:tc>
        <w:tc>
          <w:tcPr>
            <w:tcW w:w="2120" w:type="dxa"/>
            <w:gridSpan w:val="2"/>
            <w:tcBorders>
              <w:top w:val="single" w:color="auto" w:sz="4" w:space="0"/>
              <w:left w:val="nil"/>
              <w:bottom w:val="single" w:color="auto" w:sz="4" w:space="0"/>
              <w:right w:val="single" w:color="auto" w:sz="4" w:space="0"/>
            </w:tcBorders>
            <w:noWrap w:val="0"/>
            <w:vAlign w:val="bottom"/>
          </w:tcPr>
          <w:p>
            <w:pPr>
              <w:widowControl/>
              <w:jc w:val="center"/>
              <w:rPr>
                <w:rFonts w:ascii="Times New Roman" w:hAnsi="Times New Roman"/>
                <w:color w:val="000000"/>
                <w:kern w:val="0"/>
                <w:sz w:val="24"/>
                <w:szCs w:val="24"/>
              </w:rPr>
            </w:pPr>
            <w:r>
              <w:rPr>
                <w:rFonts w:ascii="Times New Roman" w:hAnsi="Times New Roman"/>
                <w:color w:val="000000"/>
                <w:kern w:val="0"/>
                <w:sz w:val="24"/>
                <w:szCs w:val="24"/>
              </w:rPr>
              <w:t>92,079.70</w:t>
            </w:r>
          </w:p>
        </w:tc>
      </w:tr>
      <w:tr>
        <w:tblPrEx>
          <w:tblCellMar>
            <w:top w:w="0" w:type="dxa"/>
            <w:left w:w="108" w:type="dxa"/>
            <w:bottom w:w="0" w:type="dxa"/>
            <w:right w:w="108" w:type="dxa"/>
          </w:tblCellMar>
        </w:tblPrEx>
        <w:trPr>
          <w:trHeight w:val="345" w:hRule="atLeast"/>
        </w:trPr>
        <w:tc>
          <w:tcPr>
            <w:tcW w:w="2658" w:type="dxa"/>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000000"/>
                <w:kern w:val="0"/>
                <w:sz w:val="24"/>
                <w:szCs w:val="24"/>
              </w:rPr>
            </w:pPr>
            <w:r>
              <w:rPr>
                <w:rFonts w:ascii="Times New Roman" w:hAnsi="Times New Roman"/>
                <w:color w:val="000000"/>
                <w:kern w:val="0"/>
                <w:sz w:val="24"/>
                <w:szCs w:val="24"/>
              </w:rPr>
              <w:t xml:space="preserve">   2.</w:t>
            </w:r>
            <w:r>
              <w:rPr>
                <w:rFonts w:hint="eastAsia" w:ascii="仿宋" w:hAnsi="仿宋" w:eastAsia="仿宋" w:cs="仿宋"/>
                <w:color w:val="000000"/>
                <w:kern w:val="0"/>
                <w:sz w:val="24"/>
                <w:szCs w:val="24"/>
              </w:rPr>
              <w:t>出国经费</w:t>
            </w:r>
          </w:p>
        </w:tc>
        <w:tc>
          <w:tcPr>
            <w:tcW w:w="1742" w:type="dxa"/>
            <w:gridSpan w:val="2"/>
            <w:tcBorders>
              <w:top w:val="single" w:color="auto" w:sz="4" w:space="0"/>
              <w:left w:val="nil"/>
              <w:bottom w:val="single" w:color="auto" w:sz="4" w:space="0"/>
              <w:right w:val="single" w:color="auto" w:sz="4" w:space="0"/>
            </w:tcBorders>
            <w:noWrap w:val="0"/>
            <w:vAlign w:val="center"/>
          </w:tcPr>
          <w:p>
            <w:pPr>
              <w:widowControl/>
              <w:jc w:val="center"/>
              <w:rPr>
                <w:rFonts w:ascii="Times New Roman" w:hAnsi="Times New Roman"/>
                <w:color w:val="000000"/>
                <w:kern w:val="0"/>
                <w:sz w:val="24"/>
                <w:szCs w:val="24"/>
              </w:rPr>
            </w:pPr>
            <w:r>
              <w:rPr>
                <w:rFonts w:ascii="Times New Roman" w:hAnsi="Times New Roman"/>
                <w:color w:val="000000"/>
                <w:kern w:val="0"/>
                <w:sz w:val="24"/>
                <w:szCs w:val="24"/>
              </w:rPr>
              <w:t xml:space="preserve">0.00 </w:t>
            </w:r>
          </w:p>
        </w:tc>
        <w:tc>
          <w:tcPr>
            <w:tcW w:w="2220" w:type="dxa"/>
            <w:gridSpan w:val="2"/>
            <w:tcBorders>
              <w:top w:val="single" w:color="auto" w:sz="4" w:space="0"/>
              <w:left w:val="nil"/>
              <w:bottom w:val="single" w:color="auto" w:sz="4" w:space="0"/>
              <w:right w:val="single" w:color="auto" w:sz="4" w:space="0"/>
            </w:tcBorders>
            <w:noWrap w:val="0"/>
            <w:vAlign w:val="bottom"/>
          </w:tcPr>
          <w:p>
            <w:pPr>
              <w:widowControl/>
              <w:jc w:val="center"/>
              <w:rPr>
                <w:rFonts w:ascii="Times New Roman" w:hAnsi="Times New Roman"/>
                <w:color w:val="000000"/>
                <w:kern w:val="0"/>
                <w:sz w:val="24"/>
                <w:szCs w:val="24"/>
              </w:rPr>
            </w:pPr>
            <w:r>
              <w:rPr>
                <w:rFonts w:hint="eastAsia" w:ascii="Times New Roman" w:hAnsi="Times New Roman" w:cs="宋体"/>
                <w:color w:val="000000"/>
                <w:kern w:val="0"/>
                <w:sz w:val="24"/>
                <w:szCs w:val="24"/>
              </w:rPr>
              <w:t>　</w:t>
            </w:r>
          </w:p>
        </w:tc>
        <w:tc>
          <w:tcPr>
            <w:tcW w:w="2120" w:type="dxa"/>
            <w:gridSpan w:val="2"/>
            <w:tcBorders>
              <w:top w:val="single" w:color="auto" w:sz="4" w:space="0"/>
              <w:left w:val="nil"/>
              <w:bottom w:val="single" w:color="auto" w:sz="4" w:space="0"/>
              <w:right w:val="single" w:color="auto" w:sz="4" w:space="0"/>
            </w:tcBorders>
            <w:noWrap w:val="0"/>
            <w:vAlign w:val="bottom"/>
          </w:tcPr>
          <w:p>
            <w:pPr>
              <w:widowControl/>
              <w:jc w:val="center"/>
              <w:rPr>
                <w:rFonts w:ascii="Times New Roman" w:hAnsi="Times New Roman"/>
                <w:color w:val="000000"/>
                <w:kern w:val="0"/>
                <w:sz w:val="24"/>
                <w:szCs w:val="24"/>
              </w:rPr>
            </w:pPr>
            <w:r>
              <w:rPr>
                <w:rFonts w:hint="eastAsia" w:ascii="Times New Roman" w:hAnsi="Times New Roman" w:cs="宋体"/>
                <w:color w:val="000000"/>
                <w:kern w:val="0"/>
                <w:sz w:val="24"/>
                <w:szCs w:val="24"/>
              </w:rPr>
              <w:t>　</w:t>
            </w:r>
          </w:p>
        </w:tc>
      </w:tr>
      <w:tr>
        <w:tblPrEx>
          <w:tblCellMar>
            <w:top w:w="0" w:type="dxa"/>
            <w:left w:w="108" w:type="dxa"/>
            <w:bottom w:w="0" w:type="dxa"/>
            <w:right w:w="108" w:type="dxa"/>
          </w:tblCellMar>
        </w:tblPrEx>
        <w:trPr>
          <w:trHeight w:val="345" w:hRule="atLeast"/>
        </w:trPr>
        <w:tc>
          <w:tcPr>
            <w:tcW w:w="2658" w:type="dxa"/>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000000"/>
                <w:kern w:val="0"/>
                <w:sz w:val="24"/>
                <w:szCs w:val="24"/>
              </w:rPr>
            </w:pPr>
            <w:r>
              <w:rPr>
                <w:rFonts w:ascii="Times New Roman" w:hAnsi="Times New Roman"/>
                <w:color w:val="000000"/>
                <w:kern w:val="0"/>
                <w:sz w:val="24"/>
                <w:szCs w:val="24"/>
              </w:rPr>
              <w:t xml:space="preserve">   3.</w:t>
            </w:r>
            <w:r>
              <w:rPr>
                <w:rFonts w:hint="eastAsia" w:ascii="仿宋" w:hAnsi="仿宋" w:eastAsia="仿宋" w:cs="仿宋"/>
                <w:color w:val="000000"/>
                <w:kern w:val="0"/>
                <w:sz w:val="24"/>
                <w:szCs w:val="24"/>
              </w:rPr>
              <w:t>公务接待</w:t>
            </w:r>
          </w:p>
        </w:tc>
        <w:tc>
          <w:tcPr>
            <w:tcW w:w="1742" w:type="dxa"/>
            <w:gridSpan w:val="2"/>
            <w:tcBorders>
              <w:top w:val="single" w:color="auto" w:sz="4" w:space="0"/>
              <w:left w:val="nil"/>
              <w:bottom w:val="single" w:color="auto" w:sz="4" w:space="0"/>
              <w:right w:val="single" w:color="auto" w:sz="4" w:space="0"/>
            </w:tcBorders>
            <w:noWrap w:val="0"/>
            <w:vAlign w:val="center"/>
          </w:tcPr>
          <w:p>
            <w:pPr>
              <w:widowControl/>
              <w:jc w:val="center"/>
              <w:rPr>
                <w:rFonts w:ascii="Times New Roman" w:hAnsi="Times New Roman"/>
                <w:color w:val="000000"/>
                <w:kern w:val="0"/>
                <w:sz w:val="24"/>
                <w:szCs w:val="24"/>
              </w:rPr>
            </w:pPr>
            <w:r>
              <w:rPr>
                <w:rFonts w:ascii="Times New Roman" w:hAnsi="Times New Roman"/>
                <w:color w:val="000000"/>
                <w:kern w:val="0"/>
                <w:sz w:val="24"/>
                <w:szCs w:val="24"/>
              </w:rPr>
              <w:t xml:space="preserve">4,376.00 </w:t>
            </w:r>
          </w:p>
        </w:tc>
        <w:tc>
          <w:tcPr>
            <w:tcW w:w="2220" w:type="dxa"/>
            <w:gridSpan w:val="2"/>
            <w:tcBorders>
              <w:top w:val="single" w:color="auto" w:sz="4" w:space="0"/>
              <w:left w:val="nil"/>
              <w:bottom w:val="single" w:color="auto" w:sz="4" w:space="0"/>
              <w:right w:val="single" w:color="auto" w:sz="4" w:space="0"/>
            </w:tcBorders>
            <w:noWrap w:val="0"/>
            <w:vAlign w:val="bottom"/>
          </w:tcPr>
          <w:p>
            <w:pPr>
              <w:widowControl/>
              <w:jc w:val="center"/>
              <w:rPr>
                <w:rFonts w:ascii="Times New Roman" w:hAnsi="Times New Roman"/>
                <w:color w:val="000000"/>
                <w:kern w:val="0"/>
                <w:sz w:val="24"/>
                <w:szCs w:val="24"/>
              </w:rPr>
            </w:pPr>
            <w:r>
              <w:rPr>
                <w:rFonts w:ascii="Times New Roman" w:hAnsi="Times New Roman"/>
                <w:color w:val="000000"/>
                <w:kern w:val="0"/>
                <w:sz w:val="24"/>
                <w:szCs w:val="24"/>
              </w:rPr>
              <w:t xml:space="preserve">25,000.00 </w:t>
            </w:r>
          </w:p>
        </w:tc>
        <w:tc>
          <w:tcPr>
            <w:tcW w:w="2120" w:type="dxa"/>
            <w:gridSpan w:val="2"/>
            <w:tcBorders>
              <w:top w:val="single" w:color="auto" w:sz="4" w:space="0"/>
              <w:left w:val="nil"/>
              <w:bottom w:val="single" w:color="auto" w:sz="4" w:space="0"/>
              <w:right w:val="single" w:color="auto" w:sz="4" w:space="0"/>
            </w:tcBorders>
            <w:noWrap w:val="0"/>
            <w:vAlign w:val="bottom"/>
          </w:tcPr>
          <w:p>
            <w:pPr>
              <w:widowControl/>
              <w:jc w:val="center"/>
              <w:rPr>
                <w:rFonts w:ascii="Times New Roman" w:hAnsi="Times New Roman"/>
                <w:color w:val="000000"/>
                <w:kern w:val="0"/>
                <w:sz w:val="24"/>
                <w:szCs w:val="24"/>
              </w:rPr>
            </w:pPr>
            <w:r>
              <w:rPr>
                <w:rFonts w:ascii="Times New Roman" w:hAnsi="Times New Roman"/>
                <w:color w:val="000000"/>
                <w:kern w:val="0"/>
                <w:sz w:val="24"/>
                <w:szCs w:val="24"/>
              </w:rPr>
              <w:t xml:space="preserve">3,937.00 </w:t>
            </w:r>
          </w:p>
        </w:tc>
      </w:tr>
      <w:tr>
        <w:tblPrEx>
          <w:tblCellMar>
            <w:top w:w="0" w:type="dxa"/>
            <w:left w:w="108" w:type="dxa"/>
            <w:bottom w:w="0" w:type="dxa"/>
            <w:right w:w="108" w:type="dxa"/>
          </w:tblCellMar>
        </w:tblPrEx>
        <w:trPr>
          <w:trHeight w:val="345" w:hRule="atLeast"/>
        </w:trPr>
        <w:tc>
          <w:tcPr>
            <w:tcW w:w="2658" w:type="dxa"/>
            <w:tcBorders>
              <w:top w:val="nil"/>
              <w:left w:val="single" w:color="auto" w:sz="4" w:space="0"/>
              <w:bottom w:val="single" w:color="auto" w:sz="4" w:space="0"/>
              <w:right w:val="single" w:color="auto" w:sz="4" w:space="0"/>
            </w:tcBorders>
            <w:noWrap w:val="0"/>
            <w:vAlign w:val="center"/>
          </w:tcPr>
          <w:p>
            <w:pPr>
              <w:widowControl/>
              <w:jc w:val="left"/>
              <w:rPr>
                <w:rFonts w:ascii="仿宋" w:hAnsi="仿宋" w:eastAsia="仿宋"/>
                <w:color w:val="000000"/>
                <w:kern w:val="0"/>
                <w:sz w:val="24"/>
                <w:szCs w:val="24"/>
              </w:rPr>
            </w:pPr>
            <w:r>
              <w:rPr>
                <w:rFonts w:hint="eastAsia" w:ascii="仿宋" w:hAnsi="仿宋" w:eastAsia="仿宋" w:cs="仿宋"/>
                <w:color w:val="000000"/>
                <w:kern w:val="0"/>
                <w:sz w:val="24"/>
                <w:szCs w:val="24"/>
              </w:rPr>
              <w:t>项目支出</w:t>
            </w:r>
          </w:p>
        </w:tc>
        <w:tc>
          <w:tcPr>
            <w:tcW w:w="1742" w:type="dxa"/>
            <w:gridSpan w:val="2"/>
            <w:tcBorders>
              <w:top w:val="single" w:color="auto" w:sz="4" w:space="0"/>
              <w:left w:val="nil"/>
              <w:bottom w:val="single" w:color="auto" w:sz="4" w:space="0"/>
              <w:right w:val="single" w:color="auto" w:sz="4" w:space="0"/>
            </w:tcBorders>
            <w:noWrap w:val="0"/>
            <w:vAlign w:val="center"/>
          </w:tcPr>
          <w:p>
            <w:pPr>
              <w:widowControl/>
              <w:jc w:val="center"/>
              <w:rPr>
                <w:rFonts w:ascii="Times New Roman" w:hAnsi="Times New Roman"/>
                <w:color w:val="000000"/>
                <w:kern w:val="0"/>
                <w:sz w:val="24"/>
                <w:szCs w:val="24"/>
              </w:rPr>
            </w:pPr>
            <w:r>
              <w:rPr>
                <w:rFonts w:ascii="Times New Roman" w:hAnsi="Times New Roman"/>
                <w:color w:val="000000"/>
                <w:kern w:val="0"/>
                <w:sz w:val="24"/>
                <w:szCs w:val="24"/>
              </w:rPr>
              <w:t xml:space="preserve">5,813,918.16 </w:t>
            </w:r>
          </w:p>
        </w:tc>
        <w:tc>
          <w:tcPr>
            <w:tcW w:w="2220" w:type="dxa"/>
            <w:gridSpan w:val="2"/>
            <w:tcBorders>
              <w:top w:val="single" w:color="auto" w:sz="4" w:space="0"/>
              <w:left w:val="nil"/>
              <w:bottom w:val="single" w:color="auto" w:sz="4" w:space="0"/>
              <w:right w:val="single" w:color="auto" w:sz="4" w:space="0"/>
            </w:tcBorders>
            <w:noWrap w:val="0"/>
            <w:vAlign w:val="bottom"/>
          </w:tcPr>
          <w:p>
            <w:pPr>
              <w:widowControl/>
              <w:jc w:val="center"/>
              <w:rPr>
                <w:rFonts w:ascii="Times New Roman" w:hAnsi="Times New Roman"/>
                <w:color w:val="000000"/>
                <w:kern w:val="0"/>
                <w:sz w:val="24"/>
                <w:szCs w:val="24"/>
              </w:rPr>
            </w:pPr>
            <w:r>
              <w:rPr>
                <w:rFonts w:ascii="Times New Roman" w:hAnsi="Times New Roman"/>
                <w:color w:val="000000"/>
                <w:kern w:val="0"/>
                <w:sz w:val="24"/>
                <w:szCs w:val="24"/>
              </w:rPr>
              <w:t xml:space="preserve">3,260,000.00 </w:t>
            </w:r>
          </w:p>
        </w:tc>
        <w:tc>
          <w:tcPr>
            <w:tcW w:w="2120" w:type="dxa"/>
            <w:gridSpan w:val="2"/>
            <w:tcBorders>
              <w:top w:val="single" w:color="auto" w:sz="4" w:space="0"/>
              <w:left w:val="nil"/>
              <w:bottom w:val="single" w:color="auto" w:sz="4" w:space="0"/>
              <w:right w:val="single" w:color="auto" w:sz="4" w:space="0"/>
            </w:tcBorders>
            <w:noWrap w:val="0"/>
            <w:vAlign w:val="bottom"/>
          </w:tcPr>
          <w:p>
            <w:pPr>
              <w:widowControl/>
              <w:jc w:val="center"/>
              <w:rPr>
                <w:rFonts w:ascii="Times New Roman" w:hAnsi="Times New Roman"/>
                <w:color w:val="000000"/>
                <w:kern w:val="0"/>
                <w:sz w:val="24"/>
                <w:szCs w:val="24"/>
              </w:rPr>
            </w:pPr>
            <w:r>
              <w:rPr>
                <w:rFonts w:ascii="Times New Roman" w:hAnsi="Times New Roman"/>
                <w:color w:val="000000"/>
                <w:kern w:val="0"/>
                <w:sz w:val="24"/>
                <w:szCs w:val="24"/>
              </w:rPr>
              <w:t xml:space="preserve">8,605,445.46 </w:t>
            </w:r>
          </w:p>
        </w:tc>
      </w:tr>
      <w:tr>
        <w:tblPrEx>
          <w:tblCellMar>
            <w:top w:w="0" w:type="dxa"/>
            <w:left w:w="108" w:type="dxa"/>
            <w:bottom w:w="0" w:type="dxa"/>
            <w:right w:w="108" w:type="dxa"/>
          </w:tblCellMar>
        </w:tblPrEx>
        <w:trPr>
          <w:trHeight w:val="345" w:hRule="atLeast"/>
        </w:trPr>
        <w:tc>
          <w:tcPr>
            <w:tcW w:w="2658" w:type="dxa"/>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000000"/>
                <w:kern w:val="0"/>
                <w:sz w:val="24"/>
                <w:szCs w:val="24"/>
              </w:rPr>
            </w:pPr>
            <w:r>
              <w:rPr>
                <w:rFonts w:ascii="Times New Roman" w:hAnsi="Times New Roman"/>
                <w:color w:val="000000"/>
                <w:kern w:val="0"/>
                <w:sz w:val="24"/>
                <w:szCs w:val="24"/>
              </w:rPr>
              <w:t xml:space="preserve">    1.</w:t>
            </w:r>
            <w:r>
              <w:rPr>
                <w:rFonts w:hint="eastAsia" w:ascii="仿宋" w:hAnsi="仿宋" w:eastAsia="仿宋" w:cs="仿宋"/>
                <w:color w:val="000000"/>
                <w:kern w:val="0"/>
                <w:sz w:val="24"/>
                <w:szCs w:val="24"/>
              </w:rPr>
              <w:t>业务工作专项</w:t>
            </w:r>
          </w:p>
        </w:tc>
        <w:tc>
          <w:tcPr>
            <w:tcW w:w="1742" w:type="dxa"/>
            <w:gridSpan w:val="2"/>
            <w:tcBorders>
              <w:top w:val="single" w:color="auto" w:sz="4" w:space="0"/>
              <w:left w:val="nil"/>
              <w:bottom w:val="single" w:color="auto" w:sz="4" w:space="0"/>
              <w:right w:val="single" w:color="auto" w:sz="4" w:space="0"/>
            </w:tcBorders>
            <w:noWrap w:val="0"/>
            <w:vAlign w:val="center"/>
          </w:tcPr>
          <w:p>
            <w:pPr>
              <w:widowControl/>
              <w:jc w:val="center"/>
              <w:rPr>
                <w:rFonts w:ascii="Times New Roman" w:hAnsi="Times New Roman"/>
                <w:color w:val="000000"/>
                <w:kern w:val="0"/>
                <w:sz w:val="24"/>
                <w:szCs w:val="24"/>
              </w:rPr>
            </w:pPr>
            <w:r>
              <w:rPr>
                <w:rFonts w:ascii="Times New Roman" w:hAnsi="Times New Roman"/>
                <w:color w:val="000000"/>
                <w:kern w:val="0"/>
                <w:sz w:val="24"/>
                <w:szCs w:val="24"/>
              </w:rPr>
              <w:t xml:space="preserve">5,813,918.16 </w:t>
            </w:r>
          </w:p>
        </w:tc>
        <w:tc>
          <w:tcPr>
            <w:tcW w:w="2220" w:type="dxa"/>
            <w:gridSpan w:val="2"/>
            <w:tcBorders>
              <w:top w:val="single" w:color="auto" w:sz="4" w:space="0"/>
              <w:left w:val="nil"/>
              <w:bottom w:val="single" w:color="auto" w:sz="4" w:space="0"/>
              <w:right w:val="single" w:color="auto" w:sz="4" w:space="0"/>
            </w:tcBorders>
            <w:noWrap w:val="0"/>
            <w:vAlign w:val="bottom"/>
          </w:tcPr>
          <w:p>
            <w:pPr>
              <w:widowControl/>
              <w:jc w:val="center"/>
              <w:rPr>
                <w:rFonts w:ascii="Times New Roman" w:hAnsi="Times New Roman"/>
                <w:color w:val="000000"/>
                <w:kern w:val="0"/>
                <w:sz w:val="24"/>
                <w:szCs w:val="24"/>
              </w:rPr>
            </w:pPr>
            <w:r>
              <w:rPr>
                <w:rFonts w:ascii="Times New Roman" w:hAnsi="Times New Roman"/>
                <w:color w:val="000000"/>
                <w:kern w:val="0"/>
                <w:sz w:val="24"/>
                <w:szCs w:val="24"/>
              </w:rPr>
              <w:t xml:space="preserve">3,260,000.00 </w:t>
            </w:r>
          </w:p>
        </w:tc>
        <w:tc>
          <w:tcPr>
            <w:tcW w:w="2120" w:type="dxa"/>
            <w:gridSpan w:val="2"/>
            <w:tcBorders>
              <w:top w:val="single" w:color="auto" w:sz="4" w:space="0"/>
              <w:left w:val="nil"/>
              <w:bottom w:val="single" w:color="auto" w:sz="4" w:space="0"/>
              <w:right w:val="single" w:color="auto" w:sz="4" w:space="0"/>
            </w:tcBorders>
            <w:noWrap w:val="0"/>
            <w:vAlign w:val="bottom"/>
          </w:tcPr>
          <w:p>
            <w:pPr>
              <w:widowControl/>
              <w:jc w:val="center"/>
              <w:rPr>
                <w:rFonts w:ascii="Times New Roman" w:hAnsi="Times New Roman"/>
                <w:color w:val="000000"/>
                <w:kern w:val="0"/>
                <w:sz w:val="24"/>
                <w:szCs w:val="24"/>
              </w:rPr>
            </w:pPr>
            <w:r>
              <w:rPr>
                <w:rFonts w:ascii="Times New Roman" w:hAnsi="Times New Roman"/>
                <w:color w:val="000000"/>
                <w:kern w:val="0"/>
                <w:sz w:val="24"/>
                <w:szCs w:val="24"/>
              </w:rPr>
              <w:t xml:space="preserve">8,605,445.46 </w:t>
            </w:r>
          </w:p>
        </w:tc>
      </w:tr>
      <w:tr>
        <w:tblPrEx>
          <w:tblCellMar>
            <w:top w:w="0" w:type="dxa"/>
            <w:left w:w="108" w:type="dxa"/>
            <w:bottom w:w="0" w:type="dxa"/>
            <w:right w:w="108" w:type="dxa"/>
          </w:tblCellMar>
        </w:tblPrEx>
        <w:trPr>
          <w:trHeight w:val="345" w:hRule="atLeast"/>
        </w:trPr>
        <w:tc>
          <w:tcPr>
            <w:tcW w:w="2658" w:type="dxa"/>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000000"/>
                <w:kern w:val="0"/>
                <w:sz w:val="24"/>
                <w:szCs w:val="24"/>
              </w:rPr>
            </w:pPr>
            <w:r>
              <w:rPr>
                <w:rFonts w:ascii="Times New Roman" w:hAnsi="Times New Roman"/>
                <w:color w:val="000000"/>
                <w:kern w:val="0"/>
                <w:sz w:val="24"/>
                <w:szCs w:val="24"/>
              </w:rPr>
              <w:t xml:space="preserve">    2.</w:t>
            </w:r>
            <w:r>
              <w:rPr>
                <w:rFonts w:hint="eastAsia" w:ascii="仿宋" w:hAnsi="仿宋" w:eastAsia="仿宋" w:cs="仿宋"/>
                <w:color w:val="000000"/>
                <w:kern w:val="0"/>
                <w:sz w:val="24"/>
                <w:szCs w:val="24"/>
              </w:rPr>
              <w:t>运行维护专项</w:t>
            </w:r>
          </w:p>
        </w:tc>
        <w:tc>
          <w:tcPr>
            <w:tcW w:w="1742" w:type="dxa"/>
            <w:gridSpan w:val="2"/>
            <w:tcBorders>
              <w:top w:val="single" w:color="auto" w:sz="4" w:space="0"/>
              <w:left w:val="nil"/>
              <w:bottom w:val="single" w:color="auto" w:sz="4" w:space="0"/>
              <w:right w:val="single" w:color="auto" w:sz="4" w:space="0"/>
            </w:tcBorders>
            <w:noWrap w:val="0"/>
            <w:vAlign w:val="center"/>
          </w:tcPr>
          <w:p>
            <w:pPr>
              <w:widowControl/>
              <w:jc w:val="center"/>
              <w:rPr>
                <w:rFonts w:ascii="Times New Roman" w:hAnsi="Times New Roman"/>
                <w:color w:val="000000"/>
                <w:kern w:val="0"/>
                <w:sz w:val="24"/>
                <w:szCs w:val="24"/>
              </w:rPr>
            </w:pPr>
            <w:r>
              <w:rPr>
                <w:rFonts w:hint="eastAsia" w:ascii="Times New Roman" w:hAnsi="Times New Roman" w:cs="宋体"/>
                <w:color w:val="000000"/>
                <w:kern w:val="0"/>
                <w:sz w:val="24"/>
                <w:szCs w:val="24"/>
              </w:rPr>
              <w:t>　</w:t>
            </w:r>
          </w:p>
        </w:tc>
        <w:tc>
          <w:tcPr>
            <w:tcW w:w="2220" w:type="dxa"/>
            <w:gridSpan w:val="2"/>
            <w:tcBorders>
              <w:top w:val="single" w:color="auto" w:sz="4" w:space="0"/>
              <w:left w:val="nil"/>
              <w:bottom w:val="single" w:color="auto" w:sz="4" w:space="0"/>
              <w:right w:val="single" w:color="auto" w:sz="4" w:space="0"/>
            </w:tcBorders>
            <w:noWrap w:val="0"/>
            <w:vAlign w:val="bottom"/>
          </w:tcPr>
          <w:p>
            <w:pPr>
              <w:widowControl/>
              <w:jc w:val="center"/>
              <w:rPr>
                <w:rFonts w:ascii="Times New Roman" w:hAnsi="Times New Roman"/>
                <w:color w:val="000000"/>
                <w:kern w:val="0"/>
                <w:sz w:val="24"/>
                <w:szCs w:val="24"/>
              </w:rPr>
            </w:pPr>
            <w:r>
              <w:rPr>
                <w:rFonts w:hint="eastAsia" w:ascii="Times New Roman" w:hAnsi="Times New Roman" w:cs="宋体"/>
                <w:color w:val="000000"/>
                <w:kern w:val="0"/>
                <w:sz w:val="24"/>
                <w:szCs w:val="24"/>
              </w:rPr>
              <w:t>　</w:t>
            </w:r>
          </w:p>
        </w:tc>
        <w:tc>
          <w:tcPr>
            <w:tcW w:w="2120" w:type="dxa"/>
            <w:gridSpan w:val="2"/>
            <w:tcBorders>
              <w:top w:val="single" w:color="auto" w:sz="4" w:space="0"/>
              <w:left w:val="nil"/>
              <w:bottom w:val="single" w:color="auto" w:sz="4" w:space="0"/>
              <w:right w:val="single" w:color="auto" w:sz="4" w:space="0"/>
            </w:tcBorders>
            <w:noWrap w:val="0"/>
            <w:vAlign w:val="bottom"/>
          </w:tcPr>
          <w:p>
            <w:pPr>
              <w:widowControl/>
              <w:jc w:val="center"/>
              <w:rPr>
                <w:rFonts w:ascii="Times New Roman" w:hAnsi="Times New Roman"/>
                <w:color w:val="000000"/>
                <w:kern w:val="0"/>
                <w:sz w:val="24"/>
                <w:szCs w:val="24"/>
              </w:rPr>
            </w:pPr>
            <w:r>
              <w:rPr>
                <w:rFonts w:hint="eastAsia" w:ascii="Times New Roman" w:hAnsi="Times New Roman" w:cs="宋体"/>
                <w:color w:val="000000"/>
                <w:kern w:val="0"/>
                <w:sz w:val="24"/>
                <w:szCs w:val="24"/>
              </w:rPr>
              <w:t>　</w:t>
            </w:r>
          </w:p>
        </w:tc>
      </w:tr>
      <w:tr>
        <w:tblPrEx>
          <w:tblCellMar>
            <w:top w:w="0" w:type="dxa"/>
            <w:left w:w="108" w:type="dxa"/>
            <w:bottom w:w="0" w:type="dxa"/>
            <w:right w:w="108" w:type="dxa"/>
          </w:tblCellMar>
        </w:tblPrEx>
        <w:trPr>
          <w:trHeight w:val="345" w:hRule="atLeast"/>
        </w:trPr>
        <w:tc>
          <w:tcPr>
            <w:tcW w:w="2658" w:type="dxa"/>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000000"/>
                <w:kern w:val="0"/>
                <w:sz w:val="24"/>
                <w:szCs w:val="24"/>
              </w:rPr>
            </w:pPr>
            <w:r>
              <w:rPr>
                <w:rFonts w:ascii="Times New Roman" w:hAnsi="Times New Roman"/>
                <w:color w:val="000000"/>
                <w:kern w:val="0"/>
                <w:sz w:val="24"/>
                <w:szCs w:val="24"/>
              </w:rPr>
              <w:t>……</w:t>
            </w:r>
          </w:p>
        </w:tc>
        <w:tc>
          <w:tcPr>
            <w:tcW w:w="1742" w:type="dxa"/>
            <w:gridSpan w:val="2"/>
            <w:tcBorders>
              <w:top w:val="single" w:color="auto" w:sz="4" w:space="0"/>
              <w:left w:val="nil"/>
              <w:bottom w:val="single" w:color="auto" w:sz="4" w:space="0"/>
              <w:right w:val="single" w:color="auto" w:sz="4" w:space="0"/>
            </w:tcBorders>
            <w:noWrap w:val="0"/>
            <w:vAlign w:val="center"/>
          </w:tcPr>
          <w:p>
            <w:pPr>
              <w:widowControl/>
              <w:jc w:val="center"/>
              <w:rPr>
                <w:rFonts w:ascii="Times New Roman" w:hAnsi="Times New Roman"/>
                <w:color w:val="000000"/>
                <w:kern w:val="0"/>
                <w:sz w:val="24"/>
                <w:szCs w:val="24"/>
              </w:rPr>
            </w:pPr>
            <w:r>
              <w:rPr>
                <w:rFonts w:hint="eastAsia" w:ascii="Times New Roman" w:hAnsi="Times New Roman" w:cs="宋体"/>
                <w:color w:val="000000"/>
                <w:kern w:val="0"/>
                <w:sz w:val="24"/>
                <w:szCs w:val="24"/>
              </w:rPr>
              <w:t>　</w:t>
            </w:r>
          </w:p>
        </w:tc>
        <w:tc>
          <w:tcPr>
            <w:tcW w:w="2220" w:type="dxa"/>
            <w:gridSpan w:val="2"/>
            <w:tcBorders>
              <w:top w:val="single" w:color="auto" w:sz="4" w:space="0"/>
              <w:left w:val="nil"/>
              <w:bottom w:val="single" w:color="auto" w:sz="4" w:space="0"/>
              <w:right w:val="single" w:color="auto" w:sz="4" w:space="0"/>
            </w:tcBorders>
            <w:noWrap w:val="0"/>
            <w:vAlign w:val="bottom"/>
          </w:tcPr>
          <w:p>
            <w:pPr>
              <w:widowControl/>
              <w:jc w:val="center"/>
              <w:rPr>
                <w:rFonts w:ascii="Times New Roman" w:hAnsi="Times New Roman"/>
                <w:color w:val="000000"/>
                <w:kern w:val="0"/>
                <w:sz w:val="24"/>
                <w:szCs w:val="24"/>
              </w:rPr>
            </w:pPr>
            <w:r>
              <w:rPr>
                <w:rFonts w:hint="eastAsia" w:ascii="Times New Roman" w:hAnsi="Times New Roman" w:cs="宋体"/>
                <w:color w:val="000000"/>
                <w:kern w:val="0"/>
                <w:sz w:val="24"/>
                <w:szCs w:val="24"/>
              </w:rPr>
              <w:t>　</w:t>
            </w:r>
          </w:p>
        </w:tc>
        <w:tc>
          <w:tcPr>
            <w:tcW w:w="2120" w:type="dxa"/>
            <w:gridSpan w:val="2"/>
            <w:tcBorders>
              <w:top w:val="single" w:color="auto" w:sz="4" w:space="0"/>
              <w:left w:val="nil"/>
              <w:bottom w:val="single" w:color="auto" w:sz="4" w:space="0"/>
              <w:right w:val="single" w:color="auto" w:sz="4" w:space="0"/>
            </w:tcBorders>
            <w:noWrap w:val="0"/>
            <w:vAlign w:val="bottom"/>
          </w:tcPr>
          <w:p>
            <w:pPr>
              <w:widowControl/>
              <w:jc w:val="center"/>
              <w:rPr>
                <w:rFonts w:ascii="Times New Roman" w:hAnsi="Times New Roman"/>
                <w:color w:val="000000"/>
                <w:kern w:val="0"/>
                <w:sz w:val="24"/>
                <w:szCs w:val="24"/>
              </w:rPr>
            </w:pPr>
            <w:r>
              <w:rPr>
                <w:rFonts w:hint="eastAsia" w:ascii="Times New Roman" w:hAnsi="Times New Roman" w:cs="宋体"/>
                <w:color w:val="000000"/>
                <w:kern w:val="0"/>
                <w:sz w:val="24"/>
                <w:szCs w:val="24"/>
              </w:rPr>
              <w:t>　</w:t>
            </w:r>
          </w:p>
        </w:tc>
      </w:tr>
      <w:tr>
        <w:tblPrEx>
          <w:tblCellMar>
            <w:top w:w="0" w:type="dxa"/>
            <w:left w:w="108" w:type="dxa"/>
            <w:bottom w:w="0" w:type="dxa"/>
            <w:right w:w="108" w:type="dxa"/>
          </w:tblCellMar>
        </w:tblPrEx>
        <w:trPr>
          <w:trHeight w:val="345" w:hRule="atLeast"/>
        </w:trPr>
        <w:tc>
          <w:tcPr>
            <w:tcW w:w="2658" w:type="dxa"/>
            <w:tcBorders>
              <w:top w:val="nil"/>
              <w:left w:val="single" w:color="auto" w:sz="4" w:space="0"/>
              <w:bottom w:val="single" w:color="auto" w:sz="4" w:space="0"/>
              <w:right w:val="single" w:color="auto" w:sz="4" w:space="0"/>
            </w:tcBorders>
            <w:noWrap w:val="0"/>
            <w:vAlign w:val="center"/>
          </w:tcPr>
          <w:p>
            <w:pPr>
              <w:widowControl/>
              <w:jc w:val="left"/>
              <w:rPr>
                <w:rFonts w:ascii="仿宋" w:hAnsi="仿宋" w:eastAsia="仿宋"/>
                <w:color w:val="000000"/>
                <w:kern w:val="0"/>
                <w:sz w:val="24"/>
                <w:szCs w:val="24"/>
              </w:rPr>
            </w:pPr>
            <w:r>
              <w:rPr>
                <w:rFonts w:hint="eastAsia" w:ascii="仿宋" w:hAnsi="仿宋" w:eastAsia="仿宋" w:cs="仿宋"/>
                <w:color w:val="000000"/>
                <w:kern w:val="0"/>
                <w:sz w:val="24"/>
                <w:szCs w:val="24"/>
              </w:rPr>
              <w:t>公用经费</w:t>
            </w:r>
          </w:p>
        </w:tc>
        <w:tc>
          <w:tcPr>
            <w:tcW w:w="1742" w:type="dxa"/>
            <w:gridSpan w:val="2"/>
            <w:tcBorders>
              <w:top w:val="single" w:color="auto" w:sz="4" w:space="0"/>
              <w:left w:val="nil"/>
              <w:bottom w:val="single" w:color="auto" w:sz="4" w:space="0"/>
              <w:right w:val="single" w:color="auto" w:sz="4" w:space="0"/>
            </w:tcBorders>
            <w:noWrap w:val="0"/>
            <w:vAlign w:val="center"/>
          </w:tcPr>
          <w:p>
            <w:pPr>
              <w:widowControl/>
              <w:jc w:val="center"/>
              <w:rPr>
                <w:rFonts w:ascii="Times New Roman" w:hAnsi="Times New Roman"/>
                <w:color w:val="000000"/>
                <w:kern w:val="0"/>
                <w:sz w:val="24"/>
                <w:szCs w:val="24"/>
              </w:rPr>
            </w:pPr>
            <w:r>
              <w:rPr>
                <w:rFonts w:ascii="Times New Roman" w:hAnsi="Times New Roman"/>
                <w:color w:val="000000"/>
                <w:kern w:val="0"/>
                <w:sz w:val="24"/>
                <w:szCs w:val="24"/>
              </w:rPr>
              <w:t xml:space="preserve">442,146.50 </w:t>
            </w:r>
          </w:p>
        </w:tc>
        <w:tc>
          <w:tcPr>
            <w:tcW w:w="2220" w:type="dxa"/>
            <w:gridSpan w:val="2"/>
            <w:tcBorders>
              <w:top w:val="single" w:color="auto" w:sz="4" w:space="0"/>
              <w:left w:val="nil"/>
              <w:bottom w:val="single" w:color="auto" w:sz="4" w:space="0"/>
              <w:right w:val="single" w:color="auto" w:sz="4" w:space="0"/>
            </w:tcBorders>
            <w:noWrap w:val="0"/>
            <w:vAlign w:val="bottom"/>
          </w:tcPr>
          <w:p>
            <w:pPr>
              <w:widowControl/>
              <w:jc w:val="center"/>
              <w:rPr>
                <w:rFonts w:ascii="Times New Roman" w:hAnsi="Times New Roman"/>
                <w:color w:val="000000"/>
                <w:kern w:val="0"/>
                <w:sz w:val="24"/>
                <w:szCs w:val="24"/>
              </w:rPr>
            </w:pPr>
            <w:r>
              <w:rPr>
                <w:rFonts w:ascii="Times New Roman" w:hAnsi="Times New Roman"/>
                <w:color w:val="000000"/>
                <w:kern w:val="0"/>
                <w:sz w:val="24"/>
                <w:szCs w:val="24"/>
              </w:rPr>
              <w:t xml:space="preserve">491,500.00 </w:t>
            </w:r>
          </w:p>
        </w:tc>
        <w:tc>
          <w:tcPr>
            <w:tcW w:w="2120" w:type="dxa"/>
            <w:gridSpan w:val="2"/>
            <w:tcBorders>
              <w:top w:val="single" w:color="auto" w:sz="4" w:space="0"/>
              <w:left w:val="nil"/>
              <w:bottom w:val="single" w:color="auto" w:sz="4" w:space="0"/>
              <w:right w:val="single" w:color="auto" w:sz="4" w:space="0"/>
            </w:tcBorders>
            <w:noWrap w:val="0"/>
            <w:vAlign w:val="bottom"/>
          </w:tcPr>
          <w:p>
            <w:pPr>
              <w:widowControl/>
              <w:jc w:val="center"/>
              <w:rPr>
                <w:rFonts w:ascii="Times New Roman" w:hAnsi="Times New Roman"/>
                <w:color w:val="000000"/>
                <w:kern w:val="0"/>
                <w:sz w:val="24"/>
                <w:szCs w:val="24"/>
              </w:rPr>
            </w:pPr>
            <w:r>
              <w:rPr>
                <w:rFonts w:ascii="Times New Roman" w:hAnsi="Times New Roman"/>
                <w:color w:val="000000"/>
                <w:kern w:val="0"/>
                <w:sz w:val="24"/>
                <w:szCs w:val="24"/>
              </w:rPr>
              <w:t>455,990.82</w:t>
            </w:r>
          </w:p>
        </w:tc>
      </w:tr>
      <w:tr>
        <w:tblPrEx>
          <w:tblCellMar>
            <w:top w:w="0" w:type="dxa"/>
            <w:left w:w="108" w:type="dxa"/>
            <w:bottom w:w="0" w:type="dxa"/>
            <w:right w:w="108" w:type="dxa"/>
          </w:tblCellMar>
        </w:tblPrEx>
        <w:trPr>
          <w:trHeight w:val="345" w:hRule="atLeast"/>
        </w:trPr>
        <w:tc>
          <w:tcPr>
            <w:tcW w:w="2658" w:type="dxa"/>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000000"/>
                <w:kern w:val="0"/>
                <w:sz w:val="24"/>
                <w:szCs w:val="24"/>
              </w:rPr>
            </w:pPr>
            <w:r>
              <w:rPr>
                <w:rFonts w:ascii="Times New Roman" w:hAnsi="Times New Roman"/>
                <w:color w:val="000000"/>
                <w:kern w:val="0"/>
                <w:sz w:val="24"/>
                <w:szCs w:val="24"/>
              </w:rPr>
              <w:t xml:space="preserve">    1.</w:t>
            </w:r>
            <w:r>
              <w:rPr>
                <w:rFonts w:hint="eastAsia" w:ascii="仿宋" w:hAnsi="仿宋" w:eastAsia="仿宋" w:cs="仿宋"/>
                <w:color w:val="000000"/>
                <w:kern w:val="0"/>
                <w:sz w:val="24"/>
                <w:szCs w:val="24"/>
              </w:rPr>
              <w:t>办公经费</w:t>
            </w:r>
          </w:p>
        </w:tc>
        <w:tc>
          <w:tcPr>
            <w:tcW w:w="1742" w:type="dxa"/>
            <w:gridSpan w:val="2"/>
            <w:tcBorders>
              <w:top w:val="single" w:color="auto" w:sz="4" w:space="0"/>
              <w:left w:val="nil"/>
              <w:bottom w:val="single" w:color="auto" w:sz="4" w:space="0"/>
              <w:right w:val="single" w:color="auto" w:sz="4" w:space="0"/>
            </w:tcBorders>
            <w:noWrap w:val="0"/>
            <w:vAlign w:val="center"/>
          </w:tcPr>
          <w:p>
            <w:pPr>
              <w:widowControl/>
              <w:jc w:val="center"/>
              <w:rPr>
                <w:rFonts w:ascii="Times New Roman" w:hAnsi="Times New Roman"/>
                <w:color w:val="000000"/>
                <w:kern w:val="0"/>
                <w:sz w:val="24"/>
                <w:szCs w:val="24"/>
              </w:rPr>
            </w:pPr>
            <w:r>
              <w:rPr>
                <w:rFonts w:ascii="Times New Roman" w:hAnsi="Times New Roman"/>
                <w:color w:val="000000"/>
                <w:kern w:val="0"/>
                <w:sz w:val="24"/>
                <w:szCs w:val="24"/>
              </w:rPr>
              <w:t xml:space="preserve">59,171.40 </w:t>
            </w:r>
          </w:p>
        </w:tc>
        <w:tc>
          <w:tcPr>
            <w:tcW w:w="2220" w:type="dxa"/>
            <w:gridSpan w:val="2"/>
            <w:tcBorders>
              <w:top w:val="single" w:color="auto" w:sz="4" w:space="0"/>
              <w:left w:val="nil"/>
              <w:bottom w:val="single" w:color="auto" w:sz="4" w:space="0"/>
              <w:right w:val="single" w:color="auto" w:sz="4" w:space="0"/>
            </w:tcBorders>
            <w:noWrap w:val="0"/>
            <w:vAlign w:val="bottom"/>
          </w:tcPr>
          <w:p>
            <w:pPr>
              <w:widowControl/>
              <w:jc w:val="center"/>
              <w:rPr>
                <w:rFonts w:ascii="Times New Roman" w:hAnsi="Times New Roman"/>
                <w:color w:val="000000"/>
                <w:kern w:val="0"/>
                <w:sz w:val="24"/>
                <w:szCs w:val="24"/>
              </w:rPr>
            </w:pPr>
            <w:r>
              <w:rPr>
                <w:rFonts w:ascii="Times New Roman" w:hAnsi="Times New Roman"/>
                <w:color w:val="000000"/>
                <w:kern w:val="0"/>
                <w:sz w:val="24"/>
                <w:szCs w:val="24"/>
              </w:rPr>
              <w:t xml:space="preserve">40,000.00 </w:t>
            </w:r>
          </w:p>
        </w:tc>
        <w:tc>
          <w:tcPr>
            <w:tcW w:w="2120" w:type="dxa"/>
            <w:gridSpan w:val="2"/>
            <w:tcBorders>
              <w:top w:val="single" w:color="auto" w:sz="4" w:space="0"/>
              <w:left w:val="nil"/>
              <w:bottom w:val="single" w:color="auto" w:sz="4" w:space="0"/>
              <w:right w:val="single" w:color="auto" w:sz="4" w:space="0"/>
            </w:tcBorders>
            <w:noWrap w:val="0"/>
            <w:vAlign w:val="bottom"/>
          </w:tcPr>
          <w:p>
            <w:pPr>
              <w:widowControl/>
              <w:jc w:val="center"/>
              <w:rPr>
                <w:rFonts w:ascii="Times New Roman" w:hAnsi="Times New Roman"/>
                <w:color w:val="000000"/>
                <w:kern w:val="0"/>
                <w:sz w:val="24"/>
                <w:szCs w:val="24"/>
              </w:rPr>
            </w:pPr>
            <w:r>
              <w:rPr>
                <w:rFonts w:ascii="Times New Roman" w:hAnsi="Times New Roman"/>
                <w:color w:val="000000"/>
                <w:kern w:val="0"/>
                <w:sz w:val="24"/>
                <w:szCs w:val="24"/>
              </w:rPr>
              <w:t xml:space="preserve">52,185.82 </w:t>
            </w:r>
          </w:p>
        </w:tc>
      </w:tr>
      <w:tr>
        <w:tblPrEx>
          <w:tblCellMar>
            <w:top w:w="0" w:type="dxa"/>
            <w:left w:w="108" w:type="dxa"/>
            <w:bottom w:w="0" w:type="dxa"/>
            <w:right w:w="108" w:type="dxa"/>
          </w:tblCellMar>
        </w:tblPrEx>
        <w:trPr>
          <w:trHeight w:val="345" w:hRule="atLeast"/>
        </w:trPr>
        <w:tc>
          <w:tcPr>
            <w:tcW w:w="2658" w:type="dxa"/>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000000"/>
                <w:kern w:val="0"/>
                <w:sz w:val="24"/>
                <w:szCs w:val="24"/>
              </w:rPr>
            </w:pPr>
            <w:r>
              <w:rPr>
                <w:rFonts w:ascii="Times New Roman" w:hAnsi="Times New Roman"/>
                <w:color w:val="000000"/>
                <w:kern w:val="0"/>
                <w:sz w:val="24"/>
                <w:szCs w:val="24"/>
              </w:rPr>
              <w:t xml:space="preserve">    2.</w:t>
            </w:r>
            <w:r>
              <w:rPr>
                <w:rFonts w:hint="eastAsia" w:ascii="仿宋" w:hAnsi="仿宋" w:eastAsia="仿宋" w:cs="仿宋"/>
                <w:color w:val="000000"/>
                <w:kern w:val="0"/>
                <w:sz w:val="24"/>
                <w:szCs w:val="24"/>
              </w:rPr>
              <w:t>水电费</w:t>
            </w:r>
          </w:p>
        </w:tc>
        <w:tc>
          <w:tcPr>
            <w:tcW w:w="1742" w:type="dxa"/>
            <w:gridSpan w:val="2"/>
            <w:tcBorders>
              <w:top w:val="single" w:color="auto" w:sz="4" w:space="0"/>
              <w:left w:val="nil"/>
              <w:bottom w:val="single" w:color="auto" w:sz="4" w:space="0"/>
              <w:right w:val="single" w:color="auto" w:sz="4" w:space="0"/>
            </w:tcBorders>
            <w:noWrap w:val="0"/>
            <w:vAlign w:val="center"/>
          </w:tcPr>
          <w:p>
            <w:pPr>
              <w:widowControl/>
              <w:jc w:val="center"/>
              <w:rPr>
                <w:rFonts w:ascii="Times New Roman" w:hAnsi="Times New Roman"/>
                <w:color w:val="000000"/>
                <w:kern w:val="0"/>
                <w:sz w:val="24"/>
                <w:szCs w:val="24"/>
              </w:rPr>
            </w:pPr>
            <w:r>
              <w:rPr>
                <w:rFonts w:ascii="Times New Roman" w:hAnsi="Times New Roman"/>
                <w:color w:val="000000"/>
                <w:kern w:val="0"/>
                <w:sz w:val="24"/>
                <w:szCs w:val="24"/>
              </w:rPr>
              <w:t xml:space="preserve">41,662.80 </w:t>
            </w:r>
          </w:p>
        </w:tc>
        <w:tc>
          <w:tcPr>
            <w:tcW w:w="2220" w:type="dxa"/>
            <w:gridSpan w:val="2"/>
            <w:tcBorders>
              <w:top w:val="single" w:color="auto" w:sz="4" w:space="0"/>
              <w:left w:val="nil"/>
              <w:bottom w:val="single" w:color="auto" w:sz="4" w:space="0"/>
              <w:right w:val="single" w:color="auto" w:sz="4" w:space="0"/>
            </w:tcBorders>
            <w:noWrap w:val="0"/>
            <w:vAlign w:val="bottom"/>
          </w:tcPr>
          <w:p>
            <w:pPr>
              <w:widowControl/>
              <w:jc w:val="center"/>
              <w:rPr>
                <w:rFonts w:ascii="Times New Roman" w:hAnsi="Times New Roman"/>
                <w:color w:val="000000"/>
                <w:kern w:val="0"/>
                <w:sz w:val="24"/>
                <w:szCs w:val="24"/>
              </w:rPr>
            </w:pPr>
            <w:r>
              <w:rPr>
                <w:rFonts w:ascii="Times New Roman" w:hAnsi="Times New Roman"/>
                <w:color w:val="000000"/>
                <w:kern w:val="0"/>
                <w:sz w:val="24"/>
                <w:szCs w:val="24"/>
              </w:rPr>
              <w:t xml:space="preserve">35,000.00 </w:t>
            </w:r>
          </w:p>
        </w:tc>
        <w:tc>
          <w:tcPr>
            <w:tcW w:w="2120" w:type="dxa"/>
            <w:gridSpan w:val="2"/>
            <w:tcBorders>
              <w:top w:val="single" w:color="auto" w:sz="4" w:space="0"/>
              <w:left w:val="nil"/>
              <w:bottom w:val="single" w:color="auto" w:sz="4" w:space="0"/>
              <w:right w:val="single" w:color="auto" w:sz="4" w:space="0"/>
            </w:tcBorders>
            <w:noWrap w:val="0"/>
            <w:vAlign w:val="bottom"/>
          </w:tcPr>
          <w:p>
            <w:pPr>
              <w:widowControl/>
              <w:jc w:val="center"/>
              <w:rPr>
                <w:rFonts w:ascii="Times New Roman" w:hAnsi="Times New Roman"/>
                <w:color w:val="000000"/>
                <w:kern w:val="0"/>
                <w:sz w:val="24"/>
                <w:szCs w:val="24"/>
              </w:rPr>
            </w:pPr>
            <w:r>
              <w:rPr>
                <w:rFonts w:ascii="Times New Roman" w:hAnsi="Times New Roman"/>
                <w:color w:val="000000"/>
                <w:kern w:val="0"/>
                <w:sz w:val="24"/>
                <w:szCs w:val="24"/>
              </w:rPr>
              <w:t xml:space="preserve">35,000.00 </w:t>
            </w:r>
          </w:p>
        </w:tc>
      </w:tr>
      <w:tr>
        <w:tblPrEx>
          <w:tblCellMar>
            <w:top w:w="0" w:type="dxa"/>
            <w:left w:w="108" w:type="dxa"/>
            <w:bottom w:w="0" w:type="dxa"/>
            <w:right w:w="108" w:type="dxa"/>
          </w:tblCellMar>
        </w:tblPrEx>
        <w:trPr>
          <w:trHeight w:val="345" w:hRule="atLeast"/>
        </w:trPr>
        <w:tc>
          <w:tcPr>
            <w:tcW w:w="2658" w:type="dxa"/>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000000"/>
                <w:kern w:val="0"/>
                <w:sz w:val="24"/>
                <w:szCs w:val="24"/>
              </w:rPr>
            </w:pPr>
            <w:r>
              <w:rPr>
                <w:rFonts w:ascii="Times New Roman" w:hAnsi="Times New Roman"/>
                <w:color w:val="000000"/>
                <w:kern w:val="0"/>
                <w:sz w:val="24"/>
                <w:szCs w:val="24"/>
              </w:rPr>
              <w:t xml:space="preserve">    3.</w:t>
            </w:r>
            <w:r>
              <w:rPr>
                <w:rFonts w:hint="eastAsia" w:ascii="仿宋" w:hAnsi="仿宋" w:eastAsia="仿宋" w:cs="仿宋"/>
                <w:color w:val="000000"/>
                <w:kern w:val="0"/>
                <w:sz w:val="24"/>
                <w:szCs w:val="24"/>
              </w:rPr>
              <w:t>差旅费</w:t>
            </w:r>
          </w:p>
        </w:tc>
        <w:tc>
          <w:tcPr>
            <w:tcW w:w="1742" w:type="dxa"/>
            <w:gridSpan w:val="2"/>
            <w:tcBorders>
              <w:top w:val="single" w:color="auto" w:sz="4" w:space="0"/>
              <w:left w:val="nil"/>
              <w:bottom w:val="single" w:color="auto" w:sz="4" w:space="0"/>
              <w:right w:val="single" w:color="auto" w:sz="4" w:space="0"/>
            </w:tcBorders>
            <w:noWrap w:val="0"/>
            <w:vAlign w:val="center"/>
          </w:tcPr>
          <w:p>
            <w:pPr>
              <w:widowControl/>
              <w:jc w:val="center"/>
              <w:rPr>
                <w:rFonts w:ascii="Times New Roman" w:hAnsi="Times New Roman"/>
                <w:color w:val="000000"/>
                <w:kern w:val="0"/>
                <w:sz w:val="24"/>
                <w:szCs w:val="24"/>
              </w:rPr>
            </w:pPr>
            <w:r>
              <w:rPr>
                <w:rFonts w:ascii="Times New Roman" w:hAnsi="Times New Roman"/>
                <w:color w:val="000000"/>
                <w:kern w:val="0"/>
                <w:sz w:val="24"/>
                <w:szCs w:val="24"/>
              </w:rPr>
              <w:t xml:space="preserve">31,400.00 </w:t>
            </w:r>
          </w:p>
        </w:tc>
        <w:tc>
          <w:tcPr>
            <w:tcW w:w="2220" w:type="dxa"/>
            <w:gridSpan w:val="2"/>
            <w:tcBorders>
              <w:top w:val="single" w:color="auto" w:sz="4" w:space="0"/>
              <w:left w:val="nil"/>
              <w:bottom w:val="single" w:color="auto" w:sz="4" w:space="0"/>
              <w:right w:val="single" w:color="auto" w:sz="4" w:space="0"/>
            </w:tcBorders>
            <w:noWrap w:val="0"/>
            <w:vAlign w:val="bottom"/>
          </w:tcPr>
          <w:p>
            <w:pPr>
              <w:widowControl/>
              <w:jc w:val="center"/>
              <w:rPr>
                <w:rFonts w:ascii="Times New Roman" w:hAnsi="Times New Roman"/>
                <w:color w:val="000000"/>
                <w:kern w:val="0"/>
                <w:sz w:val="24"/>
                <w:szCs w:val="24"/>
              </w:rPr>
            </w:pPr>
            <w:r>
              <w:rPr>
                <w:rFonts w:ascii="Times New Roman" w:hAnsi="Times New Roman"/>
                <w:color w:val="000000"/>
                <w:kern w:val="0"/>
                <w:sz w:val="24"/>
                <w:szCs w:val="24"/>
              </w:rPr>
              <w:t xml:space="preserve">39,000.00 </w:t>
            </w:r>
          </w:p>
        </w:tc>
        <w:tc>
          <w:tcPr>
            <w:tcW w:w="2120" w:type="dxa"/>
            <w:gridSpan w:val="2"/>
            <w:tcBorders>
              <w:top w:val="single" w:color="auto" w:sz="4" w:space="0"/>
              <w:left w:val="nil"/>
              <w:bottom w:val="single" w:color="auto" w:sz="4" w:space="0"/>
              <w:right w:val="single" w:color="auto" w:sz="4" w:space="0"/>
            </w:tcBorders>
            <w:noWrap w:val="0"/>
            <w:vAlign w:val="bottom"/>
          </w:tcPr>
          <w:p>
            <w:pPr>
              <w:widowControl/>
              <w:jc w:val="center"/>
              <w:rPr>
                <w:rFonts w:ascii="Times New Roman" w:hAnsi="Times New Roman"/>
                <w:color w:val="000000"/>
                <w:kern w:val="0"/>
                <w:sz w:val="24"/>
                <w:szCs w:val="24"/>
              </w:rPr>
            </w:pPr>
            <w:r>
              <w:rPr>
                <w:rFonts w:ascii="Times New Roman" w:hAnsi="Times New Roman"/>
                <w:color w:val="000000"/>
                <w:kern w:val="0"/>
                <w:sz w:val="24"/>
                <w:szCs w:val="24"/>
              </w:rPr>
              <w:t xml:space="preserve">39,000.00 </w:t>
            </w:r>
          </w:p>
        </w:tc>
      </w:tr>
      <w:tr>
        <w:tblPrEx>
          <w:tblCellMar>
            <w:top w:w="0" w:type="dxa"/>
            <w:left w:w="108" w:type="dxa"/>
            <w:bottom w:w="0" w:type="dxa"/>
            <w:right w:w="108" w:type="dxa"/>
          </w:tblCellMar>
        </w:tblPrEx>
        <w:trPr>
          <w:trHeight w:val="345" w:hRule="atLeast"/>
        </w:trPr>
        <w:tc>
          <w:tcPr>
            <w:tcW w:w="2658" w:type="dxa"/>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000000"/>
                <w:kern w:val="0"/>
                <w:sz w:val="24"/>
                <w:szCs w:val="24"/>
              </w:rPr>
            </w:pPr>
            <w:r>
              <w:rPr>
                <w:rFonts w:ascii="Times New Roman" w:hAnsi="Times New Roman"/>
                <w:color w:val="000000"/>
                <w:kern w:val="0"/>
                <w:sz w:val="24"/>
                <w:szCs w:val="24"/>
              </w:rPr>
              <w:t xml:space="preserve">    4.</w:t>
            </w:r>
            <w:r>
              <w:rPr>
                <w:rFonts w:hint="eastAsia" w:ascii="仿宋" w:hAnsi="仿宋" w:eastAsia="仿宋" w:cs="仿宋"/>
                <w:color w:val="000000"/>
                <w:kern w:val="0"/>
                <w:sz w:val="24"/>
                <w:szCs w:val="24"/>
              </w:rPr>
              <w:t>会议费</w:t>
            </w:r>
          </w:p>
        </w:tc>
        <w:tc>
          <w:tcPr>
            <w:tcW w:w="1742" w:type="dxa"/>
            <w:gridSpan w:val="2"/>
            <w:tcBorders>
              <w:top w:val="single" w:color="auto" w:sz="4" w:space="0"/>
              <w:left w:val="nil"/>
              <w:bottom w:val="single" w:color="auto" w:sz="4" w:space="0"/>
              <w:right w:val="single" w:color="auto" w:sz="4" w:space="0"/>
            </w:tcBorders>
            <w:noWrap w:val="0"/>
            <w:vAlign w:val="center"/>
          </w:tcPr>
          <w:p>
            <w:pPr>
              <w:widowControl/>
              <w:jc w:val="center"/>
              <w:rPr>
                <w:rFonts w:ascii="Times New Roman" w:hAnsi="Times New Roman"/>
                <w:color w:val="000000"/>
                <w:kern w:val="0"/>
                <w:sz w:val="24"/>
                <w:szCs w:val="24"/>
              </w:rPr>
            </w:pPr>
            <w:r>
              <w:rPr>
                <w:rFonts w:ascii="Times New Roman" w:hAnsi="Times New Roman"/>
                <w:color w:val="000000"/>
                <w:kern w:val="0"/>
                <w:sz w:val="24"/>
                <w:szCs w:val="24"/>
              </w:rPr>
              <w:t xml:space="preserve">0.00 </w:t>
            </w:r>
          </w:p>
        </w:tc>
        <w:tc>
          <w:tcPr>
            <w:tcW w:w="2220" w:type="dxa"/>
            <w:gridSpan w:val="2"/>
            <w:tcBorders>
              <w:top w:val="single" w:color="auto" w:sz="4" w:space="0"/>
              <w:left w:val="nil"/>
              <w:bottom w:val="single" w:color="auto" w:sz="4" w:space="0"/>
              <w:right w:val="single" w:color="auto" w:sz="4" w:space="0"/>
            </w:tcBorders>
            <w:noWrap w:val="0"/>
            <w:vAlign w:val="bottom"/>
          </w:tcPr>
          <w:p>
            <w:pPr>
              <w:widowControl/>
              <w:jc w:val="center"/>
              <w:rPr>
                <w:rFonts w:ascii="Times New Roman" w:hAnsi="Times New Roman"/>
                <w:color w:val="000000"/>
                <w:kern w:val="0"/>
                <w:sz w:val="24"/>
                <w:szCs w:val="24"/>
              </w:rPr>
            </w:pPr>
            <w:r>
              <w:rPr>
                <w:rFonts w:hint="eastAsia" w:ascii="Times New Roman" w:hAnsi="Times New Roman" w:cs="宋体"/>
                <w:color w:val="000000"/>
                <w:kern w:val="0"/>
                <w:sz w:val="24"/>
                <w:szCs w:val="24"/>
              </w:rPr>
              <w:t>　</w:t>
            </w:r>
          </w:p>
        </w:tc>
        <w:tc>
          <w:tcPr>
            <w:tcW w:w="2120" w:type="dxa"/>
            <w:gridSpan w:val="2"/>
            <w:tcBorders>
              <w:top w:val="single" w:color="auto" w:sz="4" w:space="0"/>
              <w:left w:val="nil"/>
              <w:bottom w:val="single" w:color="auto" w:sz="4" w:space="0"/>
              <w:right w:val="single" w:color="auto" w:sz="4" w:space="0"/>
            </w:tcBorders>
            <w:noWrap w:val="0"/>
            <w:vAlign w:val="bottom"/>
          </w:tcPr>
          <w:p>
            <w:pPr>
              <w:widowControl/>
              <w:jc w:val="center"/>
              <w:rPr>
                <w:rFonts w:ascii="Times New Roman" w:hAnsi="Times New Roman"/>
                <w:color w:val="000000"/>
                <w:kern w:val="0"/>
                <w:sz w:val="24"/>
                <w:szCs w:val="24"/>
              </w:rPr>
            </w:pPr>
            <w:r>
              <w:rPr>
                <w:rFonts w:hint="eastAsia" w:ascii="Times New Roman" w:hAnsi="Times New Roman" w:cs="宋体"/>
                <w:color w:val="000000"/>
                <w:kern w:val="0"/>
                <w:sz w:val="24"/>
                <w:szCs w:val="24"/>
              </w:rPr>
              <w:t>　</w:t>
            </w:r>
          </w:p>
        </w:tc>
      </w:tr>
      <w:tr>
        <w:tblPrEx>
          <w:tblCellMar>
            <w:top w:w="0" w:type="dxa"/>
            <w:left w:w="108" w:type="dxa"/>
            <w:bottom w:w="0" w:type="dxa"/>
            <w:right w:w="108" w:type="dxa"/>
          </w:tblCellMar>
        </w:tblPrEx>
        <w:trPr>
          <w:trHeight w:val="345" w:hRule="atLeast"/>
        </w:trPr>
        <w:tc>
          <w:tcPr>
            <w:tcW w:w="2658" w:type="dxa"/>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000000"/>
                <w:kern w:val="0"/>
                <w:sz w:val="24"/>
                <w:szCs w:val="24"/>
              </w:rPr>
            </w:pPr>
            <w:r>
              <w:rPr>
                <w:rFonts w:ascii="Times New Roman" w:hAnsi="Times New Roman"/>
                <w:color w:val="000000"/>
                <w:kern w:val="0"/>
                <w:sz w:val="24"/>
                <w:szCs w:val="24"/>
              </w:rPr>
              <w:t xml:space="preserve">    5.</w:t>
            </w:r>
            <w:r>
              <w:rPr>
                <w:rFonts w:hint="eastAsia" w:ascii="仿宋" w:hAnsi="仿宋" w:eastAsia="仿宋" w:cs="仿宋"/>
                <w:color w:val="000000"/>
                <w:kern w:val="0"/>
                <w:sz w:val="24"/>
                <w:szCs w:val="24"/>
              </w:rPr>
              <w:t>培训费</w:t>
            </w:r>
          </w:p>
        </w:tc>
        <w:tc>
          <w:tcPr>
            <w:tcW w:w="1742" w:type="dxa"/>
            <w:gridSpan w:val="2"/>
            <w:tcBorders>
              <w:top w:val="single" w:color="auto" w:sz="4" w:space="0"/>
              <w:left w:val="nil"/>
              <w:bottom w:val="single" w:color="auto" w:sz="4" w:space="0"/>
              <w:right w:val="single" w:color="auto" w:sz="4" w:space="0"/>
            </w:tcBorders>
            <w:noWrap w:val="0"/>
            <w:vAlign w:val="center"/>
          </w:tcPr>
          <w:p>
            <w:pPr>
              <w:widowControl/>
              <w:jc w:val="center"/>
              <w:rPr>
                <w:rFonts w:ascii="Times New Roman" w:hAnsi="Times New Roman"/>
                <w:color w:val="000000"/>
                <w:kern w:val="0"/>
                <w:sz w:val="24"/>
                <w:szCs w:val="24"/>
              </w:rPr>
            </w:pPr>
            <w:r>
              <w:rPr>
                <w:rFonts w:ascii="Times New Roman" w:hAnsi="Times New Roman"/>
                <w:color w:val="000000"/>
                <w:kern w:val="0"/>
                <w:sz w:val="24"/>
                <w:szCs w:val="24"/>
              </w:rPr>
              <w:t xml:space="preserve">0.00 </w:t>
            </w:r>
          </w:p>
        </w:tc>
        <w:tc>
          <w:tcPr>
            <w:tcW w:w="2220" w:type="dxa"/>
            <w:gridSpan w:val="2"/>
            <w:tcBorders>
              <w:top w:val="single" w:color="auto" w:sz="4" w:space="0"/>
              <w:left w:val="nil"/>
              <w:bottom w:val="single" w:color="auto" w:sz="4" w:space="0"/>
              <w:right w:val="single" w:color="auto" w:sz="4" w:space="0"/>
            </w:tcBorders>
            <w:noWrap w:val="0"/>
            <w:vAlign w:val="bottom"/>
          </w:tcPr>
          <w:p>
            <w:pPr>
              <w:widowControl/>
              <w:jc w:val="center"/>
              <w:rPr>
                <w:rFonts w:ascii="Times New Roman" w:hAnsi="Times New Roman"/>
                <w:color w:val="000000"/>
                <w:kern w:val="0"/>
                <w:sz w:val="24"/>
                <w:szCs w:val="24"/>
              </w:rPr>
            </w:pPr>
            <w:r>
              <w:rPr>
                <w:rFonts w:hint="eastAsia" w:ascii="Times New Roman" w:hAnsi="Times New Roman" w:cs="宋体"/>
                <w:color w:val="000000"/>
                <w:kern w:val="0"/>
                <w:sz w:val="24"/>
                <w:szCs w:val="24"/>
              </w:rPr>
              <w:t>　</w:t>
            </w:r>
          </w:p>
        </w:tc>
        <w:tc>
          <w:tcPr>
            <w:tcW w:w="2120" w:type="dxa"/>
            <w:gridSpan w:val="2"/>
            <w:tcBorders>
              <w:top w:val="single" w:color="auto" w:sz="4" w:space="0"/>
              <w:left w:val="nil"/>
              <w:bottom w:val="single" w:color="auto" w:sz="4" w:space="0"/>
              <w:right w:val="single" w:color="auto" w:sz="4" w:space="0"/>
            </w:tcBorders>
            <w:noWrap w:val="0"/>
            <w:vAlign w:val="bottom"/>
          </w:tcPr>
          <w:p>
            <w:pPr>
              <w:widowControl/>
              <w:jc w:val="center"/>
              <w:rPr>
                <w:rFonts w:ascii="Times New Roman" w:hAnsi="Times New Roman"/>
                <w:color w:val="000000"/>
                <w:kern w:val="0"/>
                <w:sz w:val="24"/>
                <w:szCs w:val="24"/>
              </w:rPr>
            </w:pPr>
            <w:r>
              <w:rPr>
                <w:rFonts w:hint="eastAsia" w:ascii="Times New Roman" w:hAnsi="Times New Roman" w:cs="宋体"/>
                <w:color w:val="000000"/>
                <w:kern w:val="0"/>
                <w:sz w:val="24"/>
                <w:szCs w:val="24"/>
              </w:rPr>
              <w:t>　</w:t>
            </w:r>
          </w:p>
        </w:tc>
      </w:tr>
      <w:tr>
        <w:tblPrEx>
          <w:tblCellMar>
            <w:top w:w="0" w:type="dxa"/>
            <w:left w:w="108" w:type="dxa"/>
            <w:bottom w:w="0" w:type="dxa"/>
            <w:right w:w="108" w:type="dxa"/>
          </w:tblCellMar>
        </w:tblPrEx>
        <w:trPr>
          <w:trHeight w:val="345" w:hRule="atLeast"/>
        </w:trPr>
        <w:tc>
          <w:tcPr>
            <w:tcW w:w="2658" w:type="dxa"/>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000000"/>
                <w:kern w:val="0"/>
                <w:sz w:val="24"/>
                <w:szCs w:val="24"/>
              </w:rPr>
            </w:pPr>
            <w:r>
              <w:rPr>
                <w:rFonts w:ascii="Times New Roman" w:hAnsi="Times New Roman"/>
                <w:color w:val="000000"/>
                <w:kern w:val="0"/>
                <w:sz w:val="24"/>
                <w:szCs w:val="24"/>
              </w:rPr>
              <w:t>......</w:t>
            </w:r>
          </w:p>
        </w:tc>
        <w:tc>
          <w:tcPr>
            <w:tcW w:w="1742" w:type="dxa"/>
            <w:gridSpan w:val="2"/>
            <w:tcBorders>
              <w:top w:val="single" w:color="auto" w:sz="4" w:space="0"/>
              <w:left w:val="nil"/>
              <w:bottom w:val="single" w:color="auto" w:sz="4" w:space="0"/>
              <w:right w:val="single" w:color="auto" w:sz="4" w:space="0"/>
            </w:tcBorders>
            <w:noWrap w:val="0"/>
            <w:vAlign w:val="center"/>
          </w:tcPr>
          <w:p>
            <w:pPr>
              <w:widowControl/>
              <w:jc w:val="center"/>
              <w:rPr>
                <w:rFonts w:ascii="Times New Roman" w:hAnsi="Times New Roman"/>
                <w:color w:val="FF0000"/>
                <w:kern w:val="0"/>
                <w:sz w:val="24"/>
                <w:szCs w:val="24"/>
              </w:rPr>
            </w:pPr>
            <w:r>
              <w:rPr>
                <w:rFonts w:hint="eastAsia" w:ascii="Times New Roman" w:hAnsi="Times New Roman" w:cs="宋体"/>
                <w:color w:val="FF0000"/>
                <w:kern w:val="0"/>
                <w:sz w:val="24"/>
                <w:szCs w:val="24"/>
              </w:rPr>
              <w:t>　</w:t>
            </w:r>
          </w:p>
        </w:tc>
        <w:tc>
          <w:tcPr>
            <w:tcW w:w="2220" w:type="dxa"/>
            <w:gridSpan w:val="2"/>
            <w:tcBorders>
              <w:top w:val="single" w:color="auto" w:sz="4" w:space="0"/>
              <w:left w:val="nil"/>
              <w:bottom w:val="single" w:color="auto" w:sz="4" w:space="0"/>
              <w:right w:val="single" w:color="auto" w:sz="4" w:space="0"/>
            </w:tcBorders>
            <w:noWrap w:val="0"/>
            <w:vAlign w:val="bottom"/>
          </w:tcPr>
          <w:p>
            <w:pPr>
              <w:widowControl/>
              <w:jc w:val="center"/>
              <w:rPr>
                <w:rFonts w:ascii="Times New Roman" w:hAnsi="Times New Roman"/>
                <w:color w:val="000000"/>
                <w:kern w:val="0"/>
                <w:sz w:val="24"/>
                <w:szCs w:val="24"/>
              </w:rPr>
            </w:pPr>
            <w:r>
              <w:rPr>
                <w:rFonts w:hint="eastAsia" w:ascii="Times New Roman" w:hAnsi="Times New Roman" w:cs="宋体"/>
                <w:color w:val="000000"/>
                <w:kern w:val="0"/>
                <w:sz w:val="24"/>
                <w:szCs w:val="24"/>
              </w:rPr>
              <w:t>　</w:t>
            </w:r>
          </w:p>
        </w:tc>
        <w:tc>
          <w:tcPr>
            <w:tcW w:w="2120" w:type="dxa"/>
            <w:gridSpan w:val="2"/>
            <w:tcBorders>
              <w:top w:val="single" w:color="auto" w:sz="4" w:space="0"/>
              <w:left w:val="nil"/>
              <w:bottom w:val="single" w:color="auto" w:sz="4" w:space="0"/>
              <w:right w:val="single" w:color="auto" w:sz="4" w:space="0"/>
            </w:tcBorders>
            <w:noWrap w:val="0"/>
            <w:vAlign w:val="bottom"/>
          </w:tcPr>
          <w:p>
            <w:pPr>
              <w:widowControl/>
              <w:jc w:val="center"/>
              <w:rPr>
                <w:rFonts w:ascii="Times New Roman" w:hAnsi="Times New Roman"/>
                <w:color w:val="000000"/>
                <w:kern w:val="0"/>
                <w:sz w:val="24"/>
                <w:szCs w:val="24"/>
              </w:rPr>
            </w:pPr>
            <w:r>
              <w:rPr>
                <w:rFonts w:hint="eastAsia" w:ascii="Times New Roman" w:hAnsi="Times New Roman" w:cs="宋体"/>
                <w:color w:val="000000"/>
                <w:kern w:val="0"/>
                <w:sz w:val="24"/>
                <w:szCs w:val="24"/>
              </w:rPr>
              <w:t>　</w:t>
            </w:r>
          </w:p>
        </w:tc>
      </w:tr>
      <w:tr>
        <w:tblPrEx>
          <w:tblCellMar>
            <w:top w:w="0" w:type="dxa"/>
            <w:left w:w="108" w:type="dxa"/>
            <w:bottom w:w="0" w:type="dxa"/>
            <w:right w:w="108" w:type="dxa"/>
          </w:tblCellMar>
        </w:tblPrEx>
        <w:trPr>
          <w:trHeight w:val="345" w:hRule="atLeast"/>
        </w:trPr>
        <w:tc>
          <w:tcPr>
            <w:tcW w:w="2658" w:type="dxa"/>
            <w:tcBorders>
              <w:top w:val="nil"/>
              <w:left w:val="single" w:color="auto" w:sz="4" w:space="0"/>
              <w:bottom w:val="single" w:color="auto" w:sz="4" w:space="0"/>
              <w:right w:val="single" w:color="auto" w:sz="4" w:space="0"/>
            </w:tcBorders>
            <w:noWrap w:val="0"/>
            <w:vAlign w:val="center"/>
          </w:tcPr>
          <w:p>
            <w:pPr>
              <w:widowControl/>
              <w:jc w:val="left"/>
              <w:rPr>
                <w:rFonts w:ascii="仿宋" w:hAnsi="仿宋" w:eastAsia="仿宋"/>
                <w:color w:val="000000"/>
                <w:kern w:val="0"/>
                <w:sz w:val="24"/>
                <w:szCs w:val="24"/>
              </w:rPr>
            </w:pPr>
            <w:r>
              <w:rPr>
                <w:rFonts w:hint="eastAsia" w:ascii="仿宋" w:hAnsi="仿宋" w:eastAsia="仿宋" w:cs="仿宋"/>
                <w:color w:val="000000"/>
                <w:kern w:val="0"/>
                <w:sz w:val="24"/>
                <w:szCs w:val="24"/>
              </w:rPr>
              <w:t>政府采购金额</w:t>
            </w:r>
          </w:p>
        </w:tc>
        <w:tc>
          <w:tcPr>
            <w:tcW w:w="1742" w:type="dxa"/>
            <w:gridSpan w:val="2"/>
            <w:tcBorders>
              <w:top w:val="single" w:color="auto" w:sz="4" w:space="0"/>
              <w:left w:val="nil"/>
              <w:bottom w:val="single" w:color="auto" w:sz="4" w:space="0"/>
              <w:right w:val="single" w:color="auto" w:sz="4" w:space="0"/>
            </w:tcBorders>
            <w:noWrap w:val="0"/>
            <w:vAlign w:val="center"/>
          </w:tcPr>
          <w:p>
            <w:pPr>
              <w:widowControl/>
              <w:jc w:val="center"/>
              <w:rPr>
                <w:rFonts w:ascii="Times New Roman" w:hAnsi="Times New Roman"/>
                <w:color w:val="000000"/>
                <w:kern w:val="0"/>
                <w:sz w:val="24"/>
                <w:szCs w:val="24"/>
              </w:rPr>
            </w:pPr>
            <w:r>
              <w:rPr>
                <w:rFonts w:ascii="Times New Roman" w:hAnsi="Times New Roman"/>
                <w:color w:val="000000"/>
                <w:kern w:val="0"/>
                <w:sz w:val="24"/>
                <w:szCs w:val="24"/>
              </w:rPr>
              <w:t>——</w:t>
            </w:r>
          </w:p>
        </w:tc>
        <w:tc>
          <w:tcPr>
            <w:tcW w:w="2220" w:type="dxa"/>
            <w:gridSpan w:val="2"/>
            <w:tcBorders>
              <w:top w:val="single" w:color="auto" w:sz="4" w:space="0"/>
              <w:left w:val="nil"/>
              <w:bottom w:val="single" w:color="auto" w:sz="4" w:space="0"/>
              <w:right w:val="single" w:color="auto" w:sz="4" w:space="0"/>
            </w:tcBorders>
            <w:noWrap w:val="0"/>
            <w:vAlign w:val="bottom"/>
          </w:tcPr>
          <w:p>
            <w:pPr>
              <w:widowControl/>
              <w:jc w:val="center"/>
              <w:rPr>
                <w:rFonts w:ascii="Times New Roman" w:hAnsi="Times New Roman"/>
                <w:color w:val="000000"/>
                <w:kern w:val="0"/>
                <w:sz w:val="24"/>
                <w:szCs w:val="24"/>
              </w:rPr>
            </w:pPr>
            <w:r>
              <w:rPr>
                <w:rFonts w:ascii="Times New Roman" w:hAnsi="Times New Roman"/>
                <w:color w:val="000000"/>
                <w:kern w:val="0"/>
                <w:sz w:val="24"/>
                <w:szCs w:val="24"/>
              </w:rPr>
              <w:t xml:space="preserve">4,430,023.73 </w:t>
            </w:r>
          </w:p>
        </w:tc>
        <w:tc>
          <w:tcPr>
            <w:tcW w:w="2120" w:type="dxa"/>
            <w:gridSpan w:val="2"/>
            <w:tcBorders>
              <w:top w:val="single" w:color="auto" w:sz="4" w:space="0"/>
              <w:left w:val="nil"/>
              <w:bottom w:val="single" w:color="auto" w:sz="4" w:space="0"/>
              <w:right w:val="single" w:color="auto" w:sz="4" w:space="0"/>
            </w:tcBorders>
            <w:noWrap w:val="0"/>
            <w:vAlign w:val="bottom"/>
          </w:tcPr>
          <w:p>
            <w:pPr>
              <w:widowControl/>
              <w:jc w:val="center"/>
              <w:rPr>
                <w:rFonts w:ascii="Times New Roman" w:hAnsi="Times New Roman"/>
                <w:color w:val="000000"/>
                <w:kern w:val="0"/>
                <w:sz w:val="24"/>
                <w:szCs w:val="24"/>
              </w:rPr>
            </w:pPr>
            <w:r>
              <w:rPr>
                <w:rFonts w:ascii="Times New Roman" w:hAnsi="Times New Roman"/>
                <w:color w:val="000000"/>
                <w:kern w:val="0"/>
                <w:sz w:val="24"/>
                <w:szCs w:val="24"/>
              </w:rPr>
              <w:t xml:space="preserve">4,430,023.73 </w:t>
            </w:r>
          </w:p>
        </w:tc>
      </w:tr>
      <w:tr>
        <w:tblPrEx>
          <w:tblCellMar>
            <w:top w:w="0" w:type="dxa"/>
            <w:left w:w="108" w:type="dxa"/>
            <w:bottom w:w="0" w:type="dxa"/>
            <w:right w:w="108" w:type="dxa"/>
          </w:tblCellMar>
        </w:tblPrEx>
        <w:trPr>
          <w:trHeight w:val="345" w:hRule="atLeast"/>
        </w:trPr>
        <w:tc>
          <w:tcPr>
            <w:tcW w:w="2658" w:type="dxa"/>
            <w:tcBorders>
              <w:top w:val="nil"/>
              <w:left w:val="single" w:color="auto" w:sz="4" w:space="0"/>
              <w:bottom w:val="single" w:color="auto" w:sz="4" w:space="0"/>
              <w:right w:val="single" w:color="auto" w:sz="4" w:space="0"/>
            </w:tcBorders>
            <w:noWrap w:val="0"/>
            <w:vAlign w:val="center"/>
          </w:tcPr>
          <w:p>
            <w:pPr>
              <w:widowControl/>
              <w:jc w:val="left"/>
              <w:rPr>
                <w:rFonts w:ascii="仿宋" w:hAnsi="仿宋" w:eastAsia="仿宋"/>
                <w:color w:val="000000"/>
                <w:kern w:val="0"/>
                <w:sz w:val="24"/>
                <w:szCs w:val="24"/>
              </w:rPr>
            </w:pPr>
            <w:r>
              <w:rPr>
                <w:rFonts w:hint="eastAsia" w:ascii="仿宋" w:hAnsi="仿宋" w:eastAsia="仿宋" w:cs="仿宋"/>
                <w:color w:val="000000"/>
                <w:kern w:val="0"/>
                <w:sz w:val="24"/>
                <w:szCs w:val="24"/>
              </w:rPr>
              <w:t>部门整体支出预算调整</w:t>
            </w:r>
            <w:r>
              <w:rPr>
                <w:rFonts w:ascii="Times New Roman" w:hAnsi="Times New Roman" w:eastAsia="仿宋"/>
                <w:color w:val="000000"/>
                <w:kern w:val="0"/>
                <w:sz w:val="24"/>
                <w:szCs w:val="24"/>
              </w:rPr>
              <w:t xml:space="preserve"> </w:t>
            </w:r>
          </w:p>
        </w:tc>
        <w:tc>
          <w:tcPr>
            <w:tcW w:w="1742" w:type="dxa"/>
            <w:gridSpan w:val="2"/>
            <w:tcBorders>
              <w:top w:val="single" w:color="auto" w:sz="4" w:space="0"/>
              <w:left w:val="nil"/>
              <w:bottom w:val="single" w:color="auto" w:sz="4" w:space="0"/>
              <w:right w:val="single" w:color="auto" w:sz="4" w:space="0"/>
            </w:tcBorders>
            <w:noWrap w:val="0"/>
            <w:vAlign w:val="center"/>
          </w:tcPr>
          <w:p>
            <w:pPr>
              <w:widowControl/>
              <w:jc w:val="left"/>
              <w:rPr>
                <w:rFonts w:ascii="Times New Roman" w:hAnsi="Times New Roman"/>
                <w:color w:val="000000"/>
                <w:kern w:val="0"/>
                <w:sz w:val="24"/>
                <w:szCs w:val="24"/>
              </w:rPr>
            </w:pPr>
            <w:r>
              <w:rPr>
                <w:rFonts w:ascii="Times New Roman" w:hAnsi="Times New Roman"/>
                <w:color w:val="000000"/>
                <w:kern w:val="0"/>
                <w:sz w:val="24"/>
                <w:szCs w:val="24"/>
              </w:rPr>
              <w:t>——</w:t>
            </w:r>
          </w:p>
        </w:tc>
        <w:tc>
          <w:tcPr>
            <w:tcW w:w="2220" w:type="dxa"/>
            <w:gridSpan w:val="2"/>
            <w:tcBorders>
              <w:top w:val="single" w:color="auto" w:sz="4" w:space="0"/>
              <w:left w:val="nil"/>
              <w:bottom w:val="single" w:color="auto" w:sz="4" w:space="0"/>
              <w:right w:val="single" w:color="auto" w:sz="4" w:space="0"/>
            </w:tcBorders>
            <w:noWrap w:val="0"/>
            <w:vAlign w:val="center"/>
          </w:tcPr>
          <w:p>
            <w:pPr>
              <w:widowControl/>
              <w:jc w:val="left"/>
              <w:rPr>
                <w:rFonts w:ascii="Times New Roman" w:hAnsi="Times New Roman"/>
                <w:color w:val="000000"/>
                <w:kern w:val="0"/>
                <w:sz w:val="24"/>
                <w:szCs w:val="24"/>
              </w:rPr>
            </w:pPr>
            <w:r>
              <w:rPr>
                <w:rFonts w:hint="eastAsia" w:ascii="Times New Roman" w:hAnsi="Times New Roman" w:cs="宋体"/>
                <w:color w:val="000000"/>
                <w:kern w:val="0"/>
                <w:sz w:val="24"/>
                <w:szCs w:val="24"/>
              </w:rPr>
              <w:t>　</w:t>
            </w:r>
          </w:p>
        </w:tc>
        <w:tc>
          <w:tcPr>
            <w:tcW w:w="2120" w:type="dxa"/>
            <w:gridSpan w:val="2"/>
            <w:tcBorders>
              <w:top w:val="single" w:color="auto" w:sz="4" w:space="0"/>
              <w:left w:val="nil"/>
              <w:bottom w:val="single" w:color="auto" w:sz="4" w:space="0"/>
              <w:right w:val="single" w:color="auto" w:sz="4" w:space="0"/>
            </w:tcBorders>
            <w:noWrap w:val="0"/>
            <w:vAlign w:val="center"/>
          </w:tcPr>
          <w:p>
            <w:pPr>
              <w:widowControl/>
              <w:jc w:val="left"/>
              <w:rPr>
                <w:rFonts w:ascii="Times New Roman" w:hAnsi="Times New Roman"/>
                <w:color w:val="000000"/>
                <w:kern w:val="0"/>
                <w:sz w:val="24"/>
                <w:szCs w:val="24"/>
              </w:rPr>
            </w:pPr>
            <w:r>
              <w:rPr>
                <w:rFonts w:hint="eastAsia" w:ascii="Times New Roman" w:hAnsi="Times New Roman" w:cs="宋体"/>
                <w:color w:val="000000"/>
                <w:kern w:val="0"/>
                <w:sz w:val="24"/>
                <w:szCs w:val="24"/>
              </w:rPr>
              <w:t>　</w:t>
            </w:r>
          </w:p>
        </w:tc>
      </w:tr>
      <w:tr>
        <w:tblPrEx>
          <w:tblCellMar>
            <w:top w:w="0" w:type="dxa"/>
            <w:left w:w="108" w:type="dxa"/>
            <w:bottom w:w="0" w:type="dxa"/>
            <w:right w:w="108" w:type="dxa"/>
          </w:tblCellMar>
        </w:tblPrEx>
        <w:trPr>
          <w:trHeight w:val="345" w:hRule="atLeast"/>
        </w:trPr>
        <w:tc>
          <w:tcPr>
            <w:tcW w:w="2658" w:type="dxa"/>
            <w:tcBorders>
              <w:top w:val="nil"/>
              <w:left w:val="single" w:color="auto" w:sz="4" w:space="0"/>
              <w:bottom w:val="nil"/>
              <w:right w:val="single" w:color="auto" w:sz="4" w:space="0"/>
            </w:tcBorders>
            <w:noWrap w:val="0"/>
            <w:vAlign w:val="center"/>
          </w:tcPr>
          <w:p>
            <w:pPr>
              <w:widowControl/>
              <w:jc w:val="left"/>
              <w:rPr>
                <w:rFonts w:ascii="仿宋" w:hAnsi="仿宋" w:eastAsia="仿宋"/>
                <w:color w:val="000000"/>
                <w:kern w:val="0"/>
                <w:sz w:val="24"/>
                <w:szCs w:val="24"/>
              </w:rPr>
            </w:pPr>
            <w:r>
              <w:rPr>
                <w:rFonts w:hint="eastAsia" w:ascii="仿宋" w:hAnsi="仿宋" w:eastAsia="仿宋" w:cs="仿宋"/>
                <w:color w:val="000000"/>
                <w:kern w:val="0"/>
                <w:sz w:val="24"/>
                <w:szCs w:val="24"/>
              </w:rPr>
              <w:t>楼堂馆所控制情况</w:t>
            </w:r>
          </w:p>
        </w:tc>
        <w:tc>
          <w:tcPr>
            <w:tcW w:w="822" w:type="dxa"/>
            <w:tcBorders>
              <w:top w:val="nil"/>
              <w:left w:val="nil"/>
              <w:bottom w:val="nil"/>
              <w:right w:val="single" w:color="auto" w:sz="4" w:space="0"/>
            </w:tcBorders>
            <w:noWrap w:val="0"/>
            <w:vAlign w:val="center"/>
          </w:tcPr>
          <w:p>
            <w:pPr>
              <w:widowControl/>
              <w:jc w:val="left"/>
              <w:rPr>
                <w:rFonts w:ascii="仿宋" w:hAnsi="仿宋" w:eastAsia="仿宋"/>
                <w:color w:val="000000"/>
                <w:kern w:val="0"/>
                <w:sz w:val="24"/>
                <w:szCs w:val="24"/>
              </w:rPr>
            </w:pPr>
            <w:r>
              <w:rPr>
                <w:rFonts w:hint="eastAsia" w:ascii="仿宋" w:hAnsi="仿宋" w:eastAsia="仿宋" w:cs="仿宋"/>
                <w:color w:val="000000"/>
                <w:kern w:val="0"/>
                <w:sz w:val="24"/>
                <w:szCs w:val="24"/>
              </w:rPr>
              <w:t>批复</w:t>
            </w:r>
          </w:p>
        </w:tc>
        <w:tc>
          <w:tcPr>
            <w:tcW w:w="920" w:type="dxa"/>
            <w:vMerge w:val="restart"/>
            <w:tcBorders>
              <w:top w:val="nil"/>
              <w:left w:val="single" w:color="auto" w:sz="4" w:space="0"/>
              <w:bottom w:val="single" w:color="auto" w:sz="4" w:space="0"/>
              <w:right w:val="single" w:color="auto" w:sz="4" w:space="0"/>
            </w:tcBorders>
            <w:noWrap w:val="0"/>
            <w:vAlign w:val="center"/>
          </w:tcPr>
          <w:p>
            <w:pPr>
              <w:widowControl/>
              <w:jc w:val="left"/>
              <w:rPr>
                <w:rFonts w:ascii="仿宋" w:hAnsi="仿宋" w:eastAsia="仿宋"/>
                <w:color w:val="000000"/>
                <w:kern w:val="0"/>
                <w:sz w:val="24"/>
                <w:szCs w:val="24"/>
              </w:rPr>
            </w:pPr>
            <w:r>
              <w:rPr>
                <w:rFonts w:hint="eastAsia" w:ascii="仿宋" w:hAnsi="仿宋" w:eastAsia="仿宋" w:cs="仿宋"/>
                <w:color w:val="000000"/>
                <w:kern w:val="0"/>
                <w:sz w:val="24"/>
                <w:szCs w:val="24"/>
              </w:rPr>
              <w:t>实际规模</w:t>
            </w:r>
            <w:r>
              <w:rPr>
                <w:rFonts w:ascii="Times New Roman" w:hAnsi="Times New Roman" w:eastAsia="仿宋"/>
                <w:color w:val="000000"/>
                <w:kern w:val="0"/>
                <w:sz w:val="24"/>
                <w:szCs w:val="24"/>
              </w:rPr>
              <w:t>(</w:t>
            </w:r>
            <w:r>
              <w:rPr>
                <w:rFonts w:hint="eastAsia" w:ascii="仿宋" w:hAnsi="仿宋" w:eastAsia="仿宋" w:cs="仿宋"/>
                <w:color w:val="000000"/>
                <w:kern w:val="0"/>
                <w:sz w:val="24"/>
                <w:szCs w:val="24"/>
              </w:rPr>
              <w:t>㎡</w:t>
            </w:r>
            <w:r>
              <w:rPr>
                <w:rFonts w:ascii="Times New Roman" w:hAnsi="Times New Roman" w:eastAsia="仿宋"/>
                <w:color w:val="000000"/>
                <w:kern w:val="0"/>
                <w:sz w:val="24"/>
                <w:szCs w:val="24"/>
              </w:rPr>
              <w:t>)</w:t>
            </w:r>
          </w:p>
        </w:tc>
        <w:tc>
          <w:tcPr>
            <w:tcW w:w="1000" w:type="dxa"/>
            <w:tcBorders>
              <w:top w:val="nil"/>
              <w:left w:val="nil"/>
              <w:bottom w:val="nil"/>
              <w:right w:val="single" w:color="auto" w:sz="4" w:space="0"/>
            </w:tcBorders>
            <w:noWrap w:val="0"/>
            <w:vAlign w:val="center"/>
          </w:tcPr>
          <w:p>
            <w:pPr>
              <w:widowControl/>
              <w:jc w:val="left"/>
              <w:rPr>
                <w:rFonts w:ascii="仿宋" w:hAnsi="仿宋" w:eastAsia="仿宋"/>
                <w:color w:val="000000"/>
                <w:kern w:val="0"/>
                <w:sz w:val="24"/>
                <w:szCs w:val="24"/>
              </w:rPr>
            </w:pPr>
            <w:r>
              <w:rPr>
                <w:rFonts w:hint="eastAsia" w:ascii="仿宋" w:hAnsi="仿宋" w:eastAsia="仿宋" w:cs="仿宋"/>
                <w:color w:val="000000"/>
                <w:kern w:val="0"/>
                <w:sz w:val="24"/>
                <w:szCs w:val="24"/>
              </w:rPr>
              <w:t>规模</w:t>
            </w:r>
          </w:p>
        </w:tc>
        <w:tc>
          <w:tcPr>
            <w:tcW w:w="1220" w:type="dxa"/>
            <w:tcBorders>
              <w:top w:val="nil"/>
              <w:left w:val="nil"/>
              <w:bottom w:val="nil"/>
              <w:right w:val="single" w:color="auto" w:sz="4" w:space="0"/>
            </w:tcBorders>
            <w:noWrap w:val="0"/>
            <w:vAlign w:val="center"/>
          </w:tcPr>
          <w:p>
            <w:pPr>
              <w:widowControl/>
              <w:jc w:val="left"/>
              <w:rPr>
                <w:rFonts w:ascii="仿宋" w:hAnsi="仿宋" w:eastAsia="仿宋"/>
                <w:color w:val="000000"/>
                <w:kern w:val="0"/>
                <w:sz w:val="24"/>
                <w:szCs w:val="24"/>
              </w:rPr>
            </w:pPr>
            <w:r>
              <w:rPr>
                <w:rFonts w:hint="eastAsia" w:ascii="仿宋" w:hAnsi="仿宋" w:eastAsia="仿宋" w:cs="仿宋"/>
                <w:color w:val="000000"/>
                <w:kern w:val="0"/>
                <w:sz w:val="24"/>
                <w:szCs w:val="24"/>
              </w:rPr>
              <w:t>预算</w:t>
            </w:r>
          </w:p>
        </w:tc>
        <w:tc>
          <w:tcPr>
            <w:tcW w:w="960" w:type="dxa"/>
            <w:tcBorders>
              <w:top w:val="nil"/>
              <w:left w:val="nil"/>
              <w:bottom w:val="nil"/>
              <w:right w:val="single" w:color="auto" w:sz="4" w:space="0"/>
            </w:tcBorders>
            <w:noWrap w:val="0"/>
            <w:vAlign w:val="center"/>
          </w:tcPr>
          <w:p>
            <w:pPr>
              <w:widowControl/>
              <w:jc w:val="left"/>
              <w:rPr>
                <w:rFonts w:ascii="仿宋" w:hAnsi="仿宋" w:eastAsia="仿宋"/>
                <w:color w:val="000000"/>
                <w:kern w:val="0"/>
                <w:sz w:val="24"/>
                <w:szCs w:val="24"/>
              </w:rPr>
            </w:pPr>
            <w:r>
              <w:rPr>
                <w:rFonts w:hint="eastAsia" w:ascii="仿宋" w:hAnsi="仿宋" w:eastAsia="仿宋" w:cs="仿宋"/>
                <w:color w:val="000000"/>
                <w:kern w:val="0"/>
                <w:sz w:val="24"/>
                <w:szCs w:val="24"/>
              </w:rPr>
              <w:t>实际</w:t>
            </w:r>
          </w:p>
        </w:tc>
        <w:tc>
          <w:tcPr>
            <w:tcW w:w="1160" w:type="dxa"/>
            <w:tcBorders>
              <w:top w:val="nil"/>
              <w:left w:val="nil"/>
              <w:bottom w:val="nil"/>
              <w:right w:val="single" w:color="auto" w:sz="4" w:space="0"/>
            </w:tcBorders>
            <w:noWrap w:val="0"/>
            <w:vAlign w:val="center"/>
          </w:tcPr>
          <w:p>
            <w:pPr>
              <w:widowControl/>
              <w:jc w:val="left"/>
              <w:rPr>
                <w:rFonts w:ascii="仿宋" w:hAnsi="仿宋" w:eastAsia="仿宋"/>
                <w:color w:val="000000"/>
                <w:kern w:val="0"/>
                <w:sz w:val="24"/>
                <w:szCs w:val="24"/>
              </w:rPr>
            </w:pPr>
            <w:r>
              <w:rPr>
                <w:rFonts w:hint="eastAsia" w:ascii="仿宋" w:hAnsi="仿宋" w:eastAsia="仿宋" w:cs="仿宋"/>
                <w:color w:val="000000"/>
                <w:kern w:val="0"/>
                <w:sz w:val="24"/>
                <w:szCs w:val="24"/>
              </w:rPr>
              <w:t>投资</w:t>
            </w:r>
          </w:p>
        </w:tc>
      </w:tr>
      <w:tr>
        <w:tblPrEx>
          <w:tblCellMar>
            <w:top w:w="0" w:type="dxa"/>
            <w:left w:w="108" w:type="dxa"/>
            <w:bottom w:w="0" w:type="dxa"/>
            <w:right w:w="108" w:type="dxa"/>
          </w:tblCellMar>
        </w:tblPrEx>
        <w:trPr>
          <w:trHeight w:val="345" w:hRule="atLeast"/>
        </w:trPr>
        <w:tc>
          <w:tcPr>
            <w:tcW w:w="2658" w:type="dxa"/>
            <w:tcBorders>
              <w:top w:val="nil"/>
              <w:left w:val="single" w:color="auto" w:sz="4" w:space="0"/>
              <w:bottom w:val="nil"/>
              <w:right w:val="single" w:color="auto" w:sz="4" w:space="0"/>
            </w:tcBorders>
            <w:noWrap w:val="0"/>
            <w:vAlign w:val="center"/>
          </w:tcPr>
          <w:p>
            <w:pPr>
              <w:widowControl/>
              <w:jc w:val="left"/>
              <w:rPr>
                <w:rFonts w:ascii="仿宋" w:hAnsi="仿宋" w:eastAsia="仿宋"/>
                <w:color w:val="000000"/>
                <w:kern w:val="0"/>
                <w:sz w:val="24"/>
                <w:szCs w:val="24"/>
              </w:rPr>
            </w:pPr>
            <w:r>
              <w:rPr>
                <w:rFonts w:hint="eastAsia" w:ascii="仿宋" w:hAnsi="仿宋" w:eastAsia="仿宋" w:cs="仿宋"/>
                <w:color w:val="000000"/>
                <w:kern w:val="0"/>
                <w:sz w:val="24"/>
                <w:szCs w:val="24"/>
              </w:rPr>
              <w:t>（</w:t>
            </w:r>
            <w:r>
              <w:rPr>
                <w:rFonts w:ascii="Times New Roman" w:hAnsi="Times New Roman" w:eastAsia="仿宋"/>
                <w:color w:val="000000"/>
                <w:kern w:val="0"/>
                <w:sz w:val="24"/>
                <w:szCs w:val="24"/>
              </w:rPr>
              <w:t>2020</w:t>
            </w:r>
            <w:r>
              <w:rPr>
                <w:rFonts w:hint="eastAsia" w:ascii="仿宋" w:hAnsi="仿宋" w:eastAsia="仿宋" w:cs="仿宋"/>
                <w:color w:val="000000"/>
                <w:kern w:val="0"/>
                <w:sz w:val="24"/>
                <w:szCs w:val="24"/>
              </w:rPr>
              <w:t>年完工项目）</w:t>
            </w:r>
          </w:p>
        </w:tc>
        <w:tc>
          <w:tcPr>
            <w:tcW w:w="822" w:type="dxa"/>
            <w:tcBorders>
              <w:top w:val="nil"/>
              <w:left w:val="nil"/>
              <w:bottom w:val="nil"/>
              <w:right w:val="single" w:color="auto" w:sz="4" w:space="0"/>
            </w:tcBorders>
            <w:noWrap w:val="0"/>
            <w:vAlign w:val="center"/>
          </w:tcPr>
          <w:p>
            <w:pPr>
              <w:widowControl/>
              <w:jc w:val="left"/>
              <w:rPr>
                <w:rFonts w:ascii="仿宋" w:hAnsi="仿宋" w:eastAsia="仿宋"/>
                <w:color w:val="000000"/>
                <w:kern w:val="0"/>
                <w:sz w:val="24"/>
                <w:szCs w:val="24"/>
              </w:rPr>
            </w:pPr>
            <w:r>
              <w:rPr>
                <w:rFonts w:hint="eastAsia" w:ascii="仿宋" w:hAnsi="仿宋" w:eastAsia="仿宋" w:cs="仿宋"/>
                <w:color w:val="000000"/>
                <w:kern w:val="0"/>
                <w:sz w:val="24"/>
                <w:szCs w:val="24"/>
              </w:rPr>
              <w:t>规模</w:t>
            </w:r>
          </w:p>
        </w:tc>
        <w:tc>
          <w:tcPr>
            <w:tcW w:w="92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 w:hAnsi="仿宋" w:eastAsia="仿宋"/>
                <w:color w:val="000000"/>
                <w:kern w:val="0"/>
                <w:sz w:val="24"/>
                <w:szCs w:val="24"/>
              </w:rPr>
            </w:pPr>
          </w:p>
        </w:tc>
        <w:tc>
          <w:tcPr>
            <w:tcW w:w="1000" w:type="dxa"/>
            <w:tcBorders>
              <w:top w:val="nil"/>
              <w:left w:val="nil"/>
              <w:bottom w:val="nil"/>
              <w:right w:val="single" w:color="auto" w:sz="4" w:space="0"/>
            </w:tcBorders>
            <w:noWrap w:val="0"/>
            <w:vAlign w:val="center"/>
          </w:tcPr>
          <w:p>
            <w:pPr>
              <w:widowControl/>
              <w:jc w:val="left"/>
              <w:rPr>
                <w:rFonts w:ascii="仿宋" w:hAnsi="仿宋" w:eastAsia="仿宋"/>
                <w:color w:val="000000"/>
                <w:kern w:val="0"/>
                <w:sz w:val="24"/>
                <w:szCs w:val="24"/>
              </w:rPr>
            </w:pPr>
            <w:r>
              <w:rPr>
                <w:rFonts w:hint="eastAsia" w:ascii="仿宋" w:hAnsi="仿宋" w:eastAsia="仿宋" w:cs="仿宋"/>
                <w:color w:val="000000"/>
                <w:kern w:val="0"/>
                <w:sz w:val="24"/>
                <w:szCs w:val="24"/>
              </w:rPr>
              <w:t>控制率</w:t>
            </w:r>
          </w:p>
        </w:tc>
        <w:tc>
          <w:tcPr>
            <w:tcW w:w="1220" w:type="dxa"/>
            <w:tcBorders>
              <w:top w:val="nil"/>
              <w:left w:val="nil"/>
              <w:bottom w:val="nil"/>
              <w:right w:val="single" w:color="auto" w:sz="4" w:space="0"/>
            </w:tcBorders>
            <w:noWrap w:val="0"/>
            <w:vAlign w:val="center"/>
          </w:tcPr>
          <w:p>
            <w:pPr>
              <w:widowControl/>
              <w:jc w:val="left"/>
              <w:rPr>
                <w:rFonts w:ascii="仿宋" w:hAnsi="仿宋" w:eastAsia="仿宋"/>
                <w:color w:val="000000"/>
                <w:kern w:val="0"/>
                <w:sz w:val="24"/>
                <w:szCs w:val="24"/>
              </w:rPr>
            </w:pPr>
            <w:r>
              <w:rPr>
                <w:rFonts w:hint="eastAsia" w:ascii="仿宋" w:hAnsi="仿宋" w:eastAsia="仿宋" w:cs="仿宋"/>
                <w:color w:val="000000"/>
                <w:kern w:val="0"/>
                <w:sz w:val="24"/>
                <w:szCs w:val="24"/>
              </w:rPr>
              <w:t>投资</w:t>
            </w:r>
          </w:p>
        </w:tc>
        <w:tc>
          <w:tcPr>
            <w:tcW w:w="960" w:type="dxa"/>
            <w:tcBorders>
              <w:top w:val="nil"/>
              <w:left w:val="nil"/>
              <w:bottom w:val="nil"/>
              <w:right w:val="single" w:color="auto" w:sz="4" w:space="0"/>
            </w:tcBorders>
            <w:noWrap w:val="0"/>
            <w:vAlign w:val="center"/>
          </w:tcPr>
          <w:p>
            <w:pPr>
              <w:widowControl/>
              <w:jc w:val="left"/>
              <w:rPr>
                <w:rFonts w:ascii="仿宋" w:hAnsi="仿宋" w:eastAsia="仿宋"/>
                <w:color w:val="000000"/>
                <w:kern w:val="0"/>
                <w:sz w:val="24"/>
                <w:szCs w:val="24"/>
              </w:rPr>
            </w:pPr>
            <w:r>
              <w:rPr>
                <w:rFonts w:hint="eastAsia" w:ascii="仿宋" w:hAnsi="仿宋" w:eastAsia="仿宋" w:cs="仿宋"/>
                <w:color w:val="000000"/>
                <w:kern w:val="0"/>
                <w:sz w:val="24"/>
                <w:szCs w:val="24"/>
              </w:rPr>
              <w:t>投资</w:t>
            </w:r>
          </w:p>
        </w:tc>
        <w:tc>
          <w:tcPr>
            <w:tcW w:w="1160" w:type="dxa"/>
            <w:tcBorders>
              <w:top w:val="nil"/>
              <w:left w:val="nil"/>
              <w:bottom w:val="nil"/>
              <w:right w:val="single" w:color="auto" w:sz="4" w:space="0"/>
            </w:tcBorders>
            <w:noWrap w:val="0"/>
            <w:vAlign w:val="center"/>
          </w:tcPr>
          <w:p>
            <w:pPr>
              <w:widowControl/>
              <w:jc w:val="left"/>
              <w:rPr>
                <w:rFonts w:ascii="仿宋" w:hAnsi="仿宋" w:eastAsia="仿宋"/>
                <w:color w:val="000000"/>
                <w:kern w:val="0"/>
                <w:sz w:val="24"/>
                <w:szCs w:val="24"/>
              </w:rPr>
            </w:pPr>
            <w:r>
              <w:rPr>
                <w:rFonts w:hint="eastAsia" w:ascii="仿宋" w:hAnsi="仿宋" w:eastAsia="仿宋" w:cs="仿宋"/>
                <w:color w:val="000000"/>
                <w:kern w:val="0"/>
                <w:sz w:val="24"/>
                <w:szCs w:val="24"/>
              </w:rPr>
              <w:t>概算</w:t>
            </w:r>
          </w:p>
        </w:tc>
      </w:tr>
      <w:tr>
        <w:tblPrEx>
          <w:tblCellMar>
            <w:top w:w="0" w:type="dxa"/>
            <w:left w:w="108" w:type="dxa"/>
            <w:bottom w:w="0" w:type="dxa"/>
            <w:right w:w="108" w:type="dxa"/>
          </w:tblCellMar>
        </w:tblPrEx>
        <w:trPr>
          <w:trHeight w:val="345" w:hRule="atLeast"/>
        </w:trPr>
        <w:tc>
          <w:tcPr>
            <w:tcW w:w="2658" w:type="dxa"/>
            <w:tcBorders>
              <w:top w:val="nil"/>
              <w:left w:val="single" w:color="auto" w:sz="4" w:space="0"/>
              <w:bottom w:val="nil"/>
              <w:right w:val="single" w:color="auto" w:sz="4" w:space="0"/>
            </w:tcBorders>
            <w:noWrap w:val="0"/>
            <w:vAlign w:val="center"/>
          </w:tcPr>
          <w:p>
            <w:pPr>
              <w:widowControl/>
              <w:jc w:val="left"/>
              <w:rPr>
                <w:rFonts w:ascii="宋体"/>
                <w:color w:val="000000"/>
                <w:kern w:val="0"/>
                <w:sz w:val="22"/>
              </w:rPr>
            </w:pPr>
            <w:r>
              <w:rPr>
                <w:rFonts w:hint="eastAsia" w:ascii="宋体" w:hAnsi="宋体" w:cs="宋体"/>
                <w:color w:val="000000"/>
                <w:kern w:val="0"/>
                <w:sz w:val="22"/>
              </w:rPr>
              <w:t>　</w:t>
            </w:r>
          </w:p>
        </w:tc>
        <w:tc>
          <w:tcPr>
            <w:tcW w:w="822" w:type="dxa"/>
            <w:tcBorders>
              <w:top w:val="nil"/>
              <w:left w:val="nil"/>
              <w:bottom w:val="single" w:color="auto" w:sz="4" w:space="0"/>
              <w:right w:val="single" w:color="auto" w:sz="4" w:space="0"/>
            </w:tcBorders>
            <w:noWrap w:val="0"/>
            <w:vAlign w:val="center"/>
          </w:tcPr>
          <w:p>
            <w:pPr>
              <w:widowControl/>
              <w:jc w:val="left"/>
              <w:rPr>
                <w:rFonts w:ascii="Times New Roman" w:hAnsi="Times New Roman"/>
                <w:color w:val="000000"/>
                <w:kern w:val="0"/>
                <w:sz w:val="24"/>
                <w:szCs w:val="24"/>
              </w:rPr>
            </w:pPr>
            <w:r>
              <w:rPr>
                <w:rFonts w:ascii="Times New Roman" w:hAnsi="Times New Roman"/>
                <w:color w:val="000000"/>
                <w:kern w:val="0"/>
                <w:sz w:val="24"/>
                <w:szCs w:val="24"/>
              </w:rPr>
              <w:t>(</w:t>
            </w:r>
            <w:r>
              <w:rPr>
                <w:rFonts w:hint="eastAsia" w:ascii="仿宋" w:hAnsi="仿宋" w:eastAsia="仿宋" w:cs="仿宋"/>
                <w:color w:val="000000"/>
                <w:kern w:val="0"/>
                <w:sz w:val="24"/>
                <w:szCs w:val="24"/>
              </w:rPr>
              <w:t>㎡</w:t>
            </w:r>
            <w:r>
              <w:rPr>
                <w:rFonts w:ascii="Times New Roman" w:hAnsi="Times New Roman"/>
                <w:color w:val="000000"/>
                <w:kern w:val="0"/>
                <w:sz w:val="24"/>
                <w:szCs w:val="24"/>
              </w:rPr>
              <w:t>)</w:t>
            </w:r>
          </w:p>
        </w:tc>
        <w:tc>
          <w:tcPr>
            <w:tcW w:w="92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 w:hAnsi="仿宋" w:eastAsia="仿宋"/>
                <w:color w:val="000000"/>
                <w:kern w:val="0"/>
                <w:sz w:val="24"/>
                <w:szCs w:val="24"/>
              </w:rPr>
            </w:pPr>
          </w:p>
        </w:tc>
        <w:tc>
          <w:tcPr>
            <w:tcW w:w="1000" w:type="dxa"/>
            <w:tcBorders>
              <w:top w:val="nil"/>
              <w:left w:val="nil"/>
              <w:bottom w:val="single" w:color="auto" w:sz="4" w:space="0"/>
              <w:right w:val="single" w:color="auto" w:sz="4" w:space="0"/>
            </w:tcBorders>
            <w:noWrap w:val="0"/>
            <w:vAlign w:val="center"/>
          </w:tcPr>
          <w:p>
            <w:pPr>
              <w:widowControl/>
              <w:jc w:val="left"/>
              <w:rPr>
                <w:rFonts w:ascii="宋体"/>
                <w:color w:val="000000"/>
                <w:kern w:val="0"/>
                <w:sz w:val="22"/>
              </w:rPr>
            </w:pPr>
            <w:r>
              <w:rPr>
                <w:rFonts w:hint="eastAsia" w:ascii="宋体" w:hAnsi="宋体" w:cs="宋体"/>
                <w:color w:val="000000"/>
                <w:kern w:val="0"/>
                <w:sz w:val="22"/>
              </w:rPr>
              <w:t>　</w:t>
            </w:r>
          </w:p>
        </w:tc>
        <w:tc>
          <w:tcPr>
            <w:tcW w:w="1220" w:type="dxa"/>
            <w:tcBorders>
              <w:top w:val="nil"/>
              <w:left w:val="nil"/>
              <w:bottom w:val="single" w:color="auto" w:sz="4" w:space="0"/>
              <w:right w:val="single" w:color="auto" w:sz="4" w:space="0"/>
            </w:tcBorders>
            <w:noWrap w:val="0"/>
            <w:vAlign w:val="center"/>
          </w:tcPr>
          <w:p>
            <w:pPr>
              <w:widowControl/>
              <w:jc w:val="left"/>
              <w:rPr>
                <w:rFonts w:ascii="Times New Roman" w:hAnsi="Times New Roman"/>
                <w:color w:val="000000"/>
                <w:kern w:val="0"/>
                <w:sz w:val="24"/>
                <w:szCs w:val="24"/>
              </w:rPr>
            </w:pPr>
            <w:r>
              <w:rPr>
                <w:rFonts w:ascii="Times New Roman" w:hAnsi="Times New Roman"/>
                <w:color w:val="000000"/>
                <w:kern w:val="0"/>
                <w:sz w:val="24"/>
                <w:szCs w:val="24"/>
              </w:rPr>
              <w:t>(</w:t>
            </w:r>
            <w:r>
              <w:rPr>
                <w:rFonts w:hint="eastAsia" w:ascii="仿宋" w:hAnsi="仿宋" w:eastAsia="仿宋" w:cs="仿宋"/>
                <w:color w:val="000000"/>
                <w:kern w:val="0"/>
                <w:sz w:val="24"/>
                <w:szCs w:val="24"/>
              </w:rPr>
              <w:t>万元</w:t>
            </w:r>
            <w:r>
              <w:rPr>
                <w:rFonts w:ascii="Times New Roman" w:hAnsi="Times New Roman"/>
                <w:color w:val="000000"/>
                <w:kern w:val="0"/>
                <w:sz w:val="24"/>
                <w:szCs w:val="24"/>
              </w:rPr>
              <w:t>)</w:t>
            </w:r>
          </w:p>
        </w:tc>
        <w:tc>
          <w:tcPr>
            <w:tcW w:w="960" w:type="dxa"/>
            <w:tcBorders>
              <w:top w:val="nil"/>
              <w:left w:val="nil"/>
              <w:bottom w:val="single" w:color="auto" w:sz="4" w:space="0"/>
              <w:right w:val="single" w:color="auto" w:sz="4" w:space="0"/>
            </w:tcBorders>
            <w:noWrap w:val="0"/>
            <w:vAlign w:val="center"/>
          </w:tcPr>
          <w:p>
            <w:pPr>
              <w:widowControl/>
              <w:jc w:val="left"/>
              <w:rPr>
                <w:rFonts w:ascii="Times New Roman" w:hAnsi="Times New Roman"/>
                <w:color w:val="000000"/>
                <w:kern w:val="0"/>
                <w:sz w:val="24"/>
                <w:szCs w:val="24"/>
              </w:rPr>
            </w:pPr>
            <w:r>
              <w:rPr>
                <w:rFonts w:ascii="Times New Roman" w:hAnsi="Times New Roman"/>
                <w:color w:val="000000"/>
                <w:kern w:val="0"/>
                <w:sz w:val="24"/>
                <w:szCs w:val="24"/>
              </w:rPr>
              <w:t>(</w:t>
            </w:r>
            <w:r>
              <w:rPr>
                <w:rFonts w:hint="eastAsia" w:ascii="仿宋" w:hAnsi="仿宋" w:eastAsia="仿宋" w:cs="仿宋"/>
                <w:color w:val="000000"/>
                <w:kern w:val="0"/>
                <w:sz w:val="24"/>
                <w:szCs w:val="24"/>
              </w:rPr>
              <w:t>万元</w:t>
            </w:r>
            <w:r>
              <w:rPr>
                <w:rFonts w:ascii="Times New Roman" w:hAnsi="Times New Roman"/>
                <w:color w:val="000000"/>
                <w:kern w:val="0"/>
                <w:sz w:val="24"/>
                <w:szCs w:val="24"/>
              </w:rPr>
              <w:t>)</w:t>
            </w:r>
          </w:p>
        </w:tc>
        <w:tc>
          <w:tcPr>
            <w:tcW w:w="1160" w:type="dxa"/>
            <w:tcBorders>
              <w:top w:val="nil"/>
              <w:left w:val="nil"/>
              <w:bottom w:val="single" w:color="auto" w:sz="4" w:space="0"/>
              <w:right w:val="single" w:color="auto" w:sz="4" w:space="0"/>
            </w:tcBorders>
            <w:noWrap w:val="0"/>
            <w:vAlign w:val="center"/>
          </w:tcPr>
          <w:p>
            <w:pPr>
              <w:widowControl/>
              <w:jc w:val="left"/>
              <w:rPr>
                <w:rFonts w:ascii="仿宋" w:hAnsi="仿宋" w:eastAsia="仿宋"/>
                <w:color w:val="000000"/>
                <w:kern w:val="0"/>
                <w:sz w:val="24"/>
                <w:szCs w:val="24"/>
              </w:rPr>
            </w:pPr>
            <w:r>
              <w:rPr>
                <w:rFonts w:hint="eastAsia" w:ascii="仿宋" w:hAnsi="仿宋" w:eastAsia="仿宋" w:cs="仿宋"/>
                <w:color w:val="000000"/>
                <w:kern w:val="0"/>
                <w:sz w:val="24"/>
                <w:szCs w:val="24"/>
              </w:rPr>
              <w:t>控制率</w:t>
            </w:r>
          </w:p>
        </w:tc>
      </w:tr>
      <w:tr>
        <w:tblPrEx>
          <w:tblCellMar>
            <w:top w:w="0" w:type="dxa"/>
            <w:left w:w="108" w:type="dxa"/>
            <w:bottom w:w="0" w:type="dxa"/>
            <w:right w:w="108" w:type="dxa"/>
          </w:tblCellMar>
        </w:tblPrEx>
        <w:trPr>
          <w:trHeight w:val="345" w:hRule="atLeast"/>
        </w:trPr>
        <w:tc>
          <w:tcPr>
            <w:tcW w:w="2658" w:type="dxa"/>
            <w:tcBorders>
              <w:top w:val="nil"/>
              <w:left w:val="single" w:color="auto" w:sz="4" w:space="0"/>
              <w:bottom w:val="single" w:color="auto" w:sz="4" w:space="0"/>
              <w:right w:val="single" w:color="auto" w:sz="4" w:space="0"/>
            </w:tcBorders>
            <w:noWrap w:val="0"/>
            <w:vAlign w:val="center"/>
          </w:tcPr>
          <w:p>
            <w:pPr>
              <w:widowControl/>
              <w:jc w:val="left"/>
              <w:rPr>
                <w:rFonts w:ascii="宋体"/>
                <w:color w:val="000000"/>
                <w:kern w:val="0"/>
                <w:sz w:val="22"/>
              </w:rPr>
            </w:pPr>
            <w:r>
              <w:rPr>
                <w:rFonts w:hint="eastAsia" w:ascii="宋体" w:hAnsi="宋体" w:cs="宋体"/>
                <w:color w:val="000000"/>
                <w:kern w:val="0"/>
                <w:sz w:val="22"/>
              </w:rPr>
              <w:t>　</w:t>
            </w:r>
          </w:p>
        </w:tc>
        <w:tc>
          <w:tcPr>
            <w:tcW w:w="822" w:type="dxa"/>
            <w:tcBorders>
              <w:top w:val="nil"/>
              <w:left w:val="nil"/>
              <w:bottom w:val="single" w:color="auto" w:sz="4" w:space="0"/>
              <w:right w:val="single" w:color="auto" w:sz="4" w:space="0"/>
            </w:tcBorders>
            <w:noWrap w:val="0"/>
            <w:vAlign w:val="center"/>
          </w:tcPr>
          <w:p>
            <w:pPr>
              <w:widowControl/>
              <w:jc w:val="left"/>
              <w:rPr>
                <w:rFonts w:ascii="仿宋" w:hAnsi="仿宋" w:eastAsia="仿宋"/>
                <w:color w:val="000000"/>
                <w:kern w:val="0"/>
                <w:sz w:val="24"/>
                <w:szCs w:val="24"/>
              </w:rPr>
            </w:pPr>
            <w:r>
              <w:rPr>
                <w:rFonts w:hint="eastAsia" w:ascii="仿宋" w:hAnsi="仿宋" w:eastAsia="仿宋" w:cs="仿宋"/>
                <w:color w:val="000000"/>
                <w:kern w:val="0"/>
                <w:sz w:val="24"/>
                <w:szCs w:val="24"/>
              </w:rPr>
              <w:t>　无</w:t>
            </w:r>
          </w:p>
        </w:tc>
        <w:tc>
          <w:tcPr>
            <w:tcW w:w="920" w:type="dxa"/>
            <w:tcBorders>
              <w:top w:val="nil"/>
              <w:left w:val="nil"/>
              <w:bottom w:val="single" w:color="auto" w:sz="4" w:space="0"/>
              <w:right w:val="single" w:color="auto" w:sz="4" w:space="0"/>
            </w:tcBorders>
            <w:noWrap w:val="0"/>
            <w:vAlign w:val="center"/>
          </w:tcPr>
          <w:p>
            <w:pPr>
              <w:widowControl/>
              <w:jc w:val="left"/>
              <w:rPr>
                <w:rFonts w:ascii="仿宋" w:hAnsi="仿宋" w:eastAsia="仿宋"/>
                <w:color w:val="000000"/>
                <w:kern w:val="0"/>
                <w:sz w:val="24"/>
                <w:szCs w:val="24"/>
              </w:rPr>
            </w:pPr>
            <w:r>
              <w:rPr>
                <w:rFonts w:hint="eastAsia" w:ascii="仿宋" w:hAnsi="仿宋" w:eastAsia="仿宋" w:cs="仿宋"/>
                <w:color w:val="000000"/>
                <w:kern w:val="0"/>
                <w:sz w:val="24"/>
                <w:szCs w:val="24"/>
              </w:rPr>
              <w:t>　</w:t>
            </w:r>
          </w:p>
        </w:tc>
        <w:tc>
          <w:tcPr>
            <w:tcW w:w="1000" w:type="dxa"/>
            <w:tcBorders>
              <w:top w:val="nil"/>
              <w:left w:val="nil"/>
              <w:bottom w:val="single" w:color="auto" w:sz="4" w:space="0"/>
              <w:right w:val="single" w:color="auto" w:sz="4" w:space="0"/>
            </w:tcBorders>
            <w:noWrap w:val="0"/>
            <w:vAlign w:val="center"/>
          </w:tcPr>
          <w:p>
            <w:pPr>
              <w:widowControl/>
              <w:jc w:val="left"/>
              <w:rPr>
                <w:rFonts w:ascii="仿宋" w:hAnsi="仿宋" w:eastAsia="仿宋"/>
                <w:color w:val="000000"/>
                <w:kern w:val="0"/>
                <w:sz w:val="24"/>
                <w:szCs w:val="24"/>
              </w:rPr>
            </w:pPr>
            <w:r>
              <w:rPr>
                <w:rFonts w:hint="eastAsia" w:ascii="仿宋" w:hAnsi="仿宋" w:eastAsia="仿宋" w:cs="仿宋"/>
                <w:color w:val="000000"/>
                <w:kern w:val="0"/>
                <w:sz w:val="24"/>
                <w:szCs w:val="24"/>
              </w:rPr>
              <w:t>　</w:t>
            </w:r>
          </w:p>
        </w:tc>
        <w:tc>
          <w:tcPr>
            <w:tcW w:w="1220" w:type="dxa"/>
            <w:tcBorders>
              <w:top w:val="nil"/>
              <w:left w:val="nil"/>
              <w:bottom w:val="single" w:color="auto" w:sz="4" w:space="0"/>
              <w:right w:val="single" w:color="auto" w:sz="4" w:space="0"/>
            </w:tcBorders>
            <w:noWrap w:val="0"/>
            <w:vAlign w:val="center"/>
          </w:tcPr>
          <w:p>
            <w:pPr>
              <w:widowControl/>
              <w:jc w:val="left"/>
              <w:rPr>
                <w:rFonts w:ascii="仿宋" w:hAnsi="仿宋" w:eastAsia="仿宋"/>
                <w:color w:val="000000"/>
                <w:kern w:val="0"/>
                <w:sz w:val="24"/>
                <w:szCs w:val="24"/>
              </w:rPr>
            </w:pPr>
            <w:r>
              <w:rPr>
                <w:rFonts w:hint="eastAsia" w:ascii="仿宋" w:hAnsi="仿宋" w:eastAsia="仿宋" w:cs="仿宋"/>
                <w:color w:val="000000"/>
                <w:kern w:val="0"/>
                <w:sz w:val="24"/>
                <w:szCs w:val="24"/>
              </w:rPr>
              <w:t>　</w:t>
            </w:r>
          </w:p>
        </w:tc>
        <w:tc>
          <w:tcPr>
            <w:tcW w:w="960" w:type="dxa"/>
            <w:tcBorders>
              <w:top w:val="nil"/>
              <w:left w:val="nil"/>
              <w:bottom w:val="single" w:color="auto" w:sz="4" w:space="0"/>
              <w:right w:val="single" w:color="auto" w:sz="4" w:space="0"/>
            </w:tcBorders>
            <w:noWrap w:val="0"/>
            <w:vAlign w:val="center"/>
          </w:tcPr>
          <w:p>
            <w:pPr>
              <w:widowControl/>
              <w:jc w:val="left"/>
              <w:rPr>
                <w:rFonts w:ascii="仿宋" w:hAnsi="仿宋" w:eastAsia="仿宋"/>
                <w:color w:val="000000"/>
                <w:kern w:val="0"/>
                <w:sz w:val="24"/>
                <w:szCs w:val="24"/>
              </w:rPr>
            </w:pPr>
            <w:r>
              <w:rPr>
                <w:rFonts w:hint="eastAsia" w:ascii="仿宋" w:hAnsi="仿宋" w:eastAsia="仿宋" w:cs="仿宋"/>
                <w:color w:val="000000"/>
                <w:kern w:val="0"/>
                <w:sz w:val="24"/>
                <w:szCs w:val="24"/>
              </w:rPr>
              <w:t>　</w:t>
            </w:r>
          </w:p>
        </w:tc>
        <w:tc>
          <w:tcPr>
            <w:tcW w:w="1160" w:type="dxa"/>
            <w:tcBorders>
              <w:top w:val="nil"/>
              <w:left w:val="nil"/>
              <w:bottom w:val="single" w:color="auto" w:sz="4" w:space="0"/>
              <w:right w:val="single" w:color="auto" w:sz="4" w:space="0"/>
            </w:tcBorders>
            <w:noWrap w:val="0"/>
            <w:vAlign w:val="center"/>
          </w:tcPr>
          <w:p>
            <w:pPr>
              <w:widowControl/>
              <w:jc w:val="left"/>
              <w:rPr>
                <w:rFonts w:ascii="仿宋" w:hAnsi="仿宋" w:eastAsia="仿宋"/>
                <w:color w:val="000000"/>
                <w:kern w:val="0"/>
                <w:sz w:val="24"/>
                <w:szCs w:val="24"/>
              </w:rPr>
            </w:pPr>
            <w:r>
              <w:rPr>
                <w:rFonts w:hint="eastAsia" w:ascii="仿宋" w:hAnsi="仿宋" w:eastAsia="仿宋" w:cs="仿宋"/>
                <w:color w:val="000000"/>
                <w:kern w:val="0"/>
                <w:sz w:val="24"/>
                <w:szCs w:val="24"/>
              </w:rPr>
              <w:t>　</w:t>
            </w:r>
          </w:p>
        </w:tc>
      </w:tr>
      <w:tr>
        <w:tblPrEx>
          <w:tblCellMar>
            <w:top w:w="0" w:type="dxa"/>
            <w:left w:w="108" w:type="dxa"/>
            <w:bottom w:w="0" w:type="dxa"/>
            <w:right w:w="108" w:type="dxa"/>
          </w:tblCellMar>
        </w:tblPrEx>
        <w:trPr>
          <w:trHeight w:val="705" w:hRule="atLeast"/>
        </w:trPr>
        <w:tc>
          <w:tcPr>
            <w:tcW w:w="2658" w:type="dxa"/>
            <w:tcBorders>
              <w:top w:val="nil"/>
              <w:left w:val="single" w:color="auto" w:sz="4" w:space="0"/>
              <w:bottom w:val="single" w:color="auto" w:sz="4" w:space="0"/>
              <w:right w:val="single" w:color="auto" w:sz="4" w:space="0"/>
            </w:tcBorders>
            <w:noWrap w:val="0"/>
            <w:vAlign w:val="center"/>
          </w:tcPr>
          <w:p>
            <w:pPr>
              <w:widowControl/>
              <w:jc w:val="left"/>
              <w:rPr>
                <w:rFonts w:ascii="仿宋" w:hAnsi="仿宋" w:eastAsia="仿宋"/>
                <w:color w:val="000000"/>
                <w:kern w:val="0"/>
                <w:sz w:val="24"/>
                <w:szCs w:val="24"/>
              </w:rPr>
            </w:pPr>
            <w:r>
              <w:rPr>
                <w:rFonts w:hint="eastAsia" w:ascii="仿宋" w:hAnsi="仿宋" w:eastAsia="仿宋" w:cs="仿宋"/>
                <w:color w:val="000000"/>
                <w:kern w:val="0"/>
                <w:sz w:val="24"/>
                <w:szCs w:val="24"/>
              </w:rPr>
              <w:t>厉行节约保障措施</w:t>
            </w:r>
          </w:p>
        </w:tc>
        <w:tc>
          <w:tcPr>
            <w:tcW w:w="6082" w:type="dxa"/>
            <w:gridSpan w:val="6"/>
            <w:tcBorders>
              <w:top w:val="single" w:color="auto" w:sz="4" w:space="0"/>
              <w:left w:val="nil"/>
              <w:bottom w:val="single" w:color="auto" w:sz="4" w:space="0"/>
              <w:right w:val="single" w:color="000000" w:sz="4" w:space="0"/>
            </w:tcBorders>
            <w:noWrap w:val="0"/>
            <w:vAlign w:val="center"/>
          </w:tcPr>
          <w:p>
            <w:pPr>
              <w:widowControl/>
              <w:jc w:val="left"/>
              <w:rPr>
                <w:rFonts w:ascii="宋体"/>
                <w:color w:val="000000"/>
                <w:kern w:val="0"/>
              </w:rPr>
            </w:pPr>
            <w:r>
              <w:rPr>
                <w:rFonts w:ascii="宋体" w:hAnsi="宋体" w:cs="宋体"/>
                <w:color w:val="000000"/>
                <w:kern w:val="0"/>
              </w:rPr>
              <w:t xml:space="preserve">   </w:t>
            </w:r>
            <w:r>
              <w:rPr>
                <w:rFonts w:hint="eastAsia" w:ascii="宋体" w:hAnsi="宋体" w:cs="宋体"/>
                <w:color w:val="000000"/>
                <w:kern w:val="0"/>
              </w:rPr>
              <w:t>根据市本级监督抽查计划，细化工作措施；建立专项资金使用台账，确保专款专用。</w:t>
            </w:r>
            <w:r>
              <w:rPr>
                <w:rFonts w:hint="eastAsia" w:ascii="仿宋" w:hAnsi="仿宋" w:eastAsia="仿宋" w:cs="仿宋"/>
                <w:color w:val="000000"/>
                <w:kern w:val="0"/>
                <w:sz w:val="24"/>
                <w:szCs w:val="24"/>
              </w:rPr>
              <w:t>　</w:t>
            </w:r>
          </w:p>
        </w:tc>
      </w:tr>
    </w:tbl>
    <w:p>
      <w:pPr>
        <w:widowControl/>
        <w:tabs>
          <w:tab w:val="left" w:pos="3611"/>
          <w:tab w:val="left" w:pos="4791"/>
          <w:tab w:val="left" w:pos="5951"/>
          <w:tab w:val="left" w:pos="7071"/>
          <w:tab w:val="left" w:pos="8191"/>
          <w:tab w:val="left" w:pos="9311"/>
        </w:tabs>
        <w:jc w:val="left"/>
        <w:rPr>
          <w:rFonts w:ascii="Times New Roman" w:hAnsi="Times New Roman" w:eastAsia="仿宋_GB2312"/>
          <w:kern w:val="0"/>
          <w:sz w:val="24"/>
          <w:szCs w:val="24"/>
        </w:rPr>
      </w:pPr>
    </w:p>
    <w:p>
      <w:r>
        <w:rPr>
          <w:rFonts w:hint="eastAsia" w:ascii="Times New Roman" w:hAnsi="Times New Roman" w:eastAsia="仿宋" w:cs="仿宋"/>
          <w:kern w:val="0"/>
          <w:sz w:val="24"/>
          <w:szCs w:val="24"/>
        </w:rPr>
        <w:t>说明：</w:t>
      </w:r>
      <w:r>
        <w:rPr>
          <w:rFonts w:ascii="Times New Roman" w:hAnsi="Times New Roman" w:eastAsia="仿宋"/>
          <w:kern w:val="0"/>
          <w:sz w:val="24"/>
          <w:szCs w:val="24"/>
        </w:rPr>
        <w:t>“</w:t>
      </w:r>
      <w:r>
        <w:rPr>
          <w:rFonts w:hint="eastAsia" w:ascii="Times New Roman" w:hAnsi="Times New Roman" w:eastAsia="仿宋" w:cs="仿宋"/>
          <w:kern w:val="0"/>
          <w:sz w:val="24"/>
          <w:szCs w:val="24"/>
        </w:rPr>
        <w:t>项目支出</w:t>
      </w:r>
      <w:r>
        <w:rPr>
          <w:rFonts w:ascii="Times New Roman" w:hAnsi="Times New Roman" w:eastAsia="仿宋"/>
          <w:kern w:val="0"/>
          <w:sz w:val="24"/>
          <w:szCs w:val="24"/>
        </w:rPr>
        <w:t>”</w:t>
      </w:r>
      <w:r>
        <w:rPr>
          <w:rFonts w:hint="eastAsia" w:ascii="Times New Roman" w:hAnsi="Times New Roman" w:eastAsia="仿宋" w:cs="仿宋"/>
          <w:kern w:val="0"/>
          <w:sz w:val="24"/>
          <w:szCs w:val="24"/>
        </w:rPr>
        <w:t>需要填报所有项目情况，包括业务工作项目、运行维护项目等；</w:t>
      </w:r>
      <w:r>
        <w:rPr>
          <w:rFonts w:ascii="Times New Roman" w:hAnsi="Times New Roman" w:eastAsia="仿宋"/>
          <w:kern w:val="0"/>
          <w:sz w:val="24"/>
          <w:szCs w:val="24"/>
        </w:rPr>
        <w:t>“</w:t>
      </w:r>
      <w:r>
        <w:rPr>
          <w:rFonts w:hint="eastAsia" w:ascii="Times New Roman" w:hAnsi="Times New Roman" w:eastAsia="仿宋" w:cs="仿宋"/>
          <w:kern w:val="0"/>
          <w:sz w:val="24"/>
          <w:szCs w:val="24"/>
        </w:rPr>
        <w:t>公用经费</w:t>
      </w:r>
      <w:r>
        <w:rPr>
          <w:rFonts w:ascii="Times New Roman" w:hAnsi="Times New Roman" w:eastAsia="仿宋"/>
          <w:kern w:val="0"/>
          <w:sz w:val="24"/>
          <w:szCs w:val="24"/>
        </w:rPr>
        <w:t>”</w:t>
      </w:r>
      <w:r>
        <w:rPr>
          <w:rFonts w:hint="eastAsia" w:ascii="Times New Roman" w:hAnsi="Times New Roman" w:eastAsia="仿宋" w:cs="仿宋"/>
          <w:kern w:val="0"/>
          <w:sz w:val="24"/>
          <w:szCs w:val="24"/>
        </w:rPr>
        <w:t>填报基本支出中的一般商品和服务支出。</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方正小标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37F49DA"/>
    <w:rsid w:val="737F49DA"/>
    <w:rsid w:val="7AE54F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2021-09-10T10:02:00Z</dcterms:created>
  <dc:creator>qiu</dc:creator>
  <cp:lastModifiedBy>1rong</cp:lastModifiedBy>
  <dcterms:modified xsi:type="dcterms:W3CDTF">2024-12-23T15:41:52Z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ies>
</file>