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经营</w:t>
      </w:r>
      <w:r>
        <w:rPr>
          <w:rFonts w:hint="eastAsia" w:ascii="方正小标宋简体" w:hAnsi="方正小标宋简体" w:eastAsia="方正小标宋简体" w:cs="方正小标宋简体"/>
          <w:sz w:val="44"/>
          <w:szCs w:val="44"/>
        </w:rPr>
        <w:t>主体年报填报指南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（国家企业信用信息公示系统）</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第一步：登录公示系统。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点击“企业信息填报”，进入登录页面；或通过“湖南企业年报”App，点击“年报填写”，进入登录页面。</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当前系统提供以下四种登录方式（“湖南企业年报”App支持前两种）：</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第二步：进入登录后首页，选择“年度报告填写”。（通过“湖南企业年报”App填报的略过此步）</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sz w:val="32"/>
          <w:szCs w:val="32"/>
        </w:rPr>
        <w:t>第</w:t>
      </w:r>
      <w:r>
        <w:rPr>
          <w:rFonts w:hint="default" w:ascii="Times New Roman" w:hAnsi="Times New Roman" w:eastAsia="楷体_GB2312" w:cs="Times New Roman"/>
          <w:b/>
          <w:bCs w:val="0"/>
          <w:sz w:val="32"/>
          <w:szCs w:val="32"/>
        </w:rPr>
        <w:t>三步：请仔细阅读填报须知，选择“我已阅读以上填报须知”，并“确认”。</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第四步：选择填报年度。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第五步：填写年报信息。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w:t>
      </w:r>
      <w:r>
        <w:rPr>
          <w:rFonts w:hint="eastAsia" w:ascii="Times New Roman" w:hAnsi="Times New Roman" w:eastAsia="仿宋_GB2312" w:cs="Times New Roman"/>
          <w:sz w:val="32"/>
          <w:szCs w:val="32"/>
          <w:lang w:eastAsia="zh-CN"/>
        </w:rPr>
        <w:t>可证</w:t>
      </w:r>
      <w:r>
        <w:rPr>
          <w:rFonts w:hint="default" w:ascii="Times New Roman" w:hAnsi="Times New Roman" w:eastAsia="仿宋_GB2312" w:cs="Times New Roman"/>
          <w:sz w:val="32"/>
          <w:szCs w:val="32"/>
        </w:rPr>
        <w:t>信息，也可修改或删除信息。点击“添加”，填写相关信息，点击“保存”，返回“特种设备生产许</w:t>
      </w:r>
      <w:r>
        <w:rPr>
          <w:rFonts w:hint="eastAsia" w:ascii="Times New Roman" w:hAnsi="Times New Roman" w:eastAsia="仿宋_GB2312" w:cs="Times New Roman"/>
          <w:sz w:val="32"/>
          <w:szCs w:val="32"/>
          <w:lang w:eastAsia="zh-CN"/>
        </w:rPr>
        <w:t>可证</w:t>
      </w:r>
      <w:r>
        <w:rPr>
          <w:rFonts w:hint="default" w:ascii="Times New Roman" w:hAnsi="Times New Roman" w:eastAsia="仿宋_GB2312" w:cs="Times New Roman"/>
          <w:sz w:val="32"/>
          <w:szCs w:val="32"/>
        </w:rPr>
        <w:t>”页面，再点击“保存”。企业无此信息时可以不填写该项内容。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7、网站或网店信息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w:t>
      </w:r>
      <w:r>
        <w:rPr>
          <w:rFonts w:hint="default" w:ascii="Times New Roman" w:hAnsi="Times New Roman" w:eastAsia="仿宋_GB2312" w:cs="Times New Roman"/>
          <w:color w:val="000000" w:themeColor="text1"/>
          <w:sz w:val="32"/>
          <w:szCs w:val="32"/>
          <w14:textFill>
            <w14:solidFill>
              <w14:schemeClr w14:val="tx1"/>
            </w14:solidFill>
          </w14:textFill>
        </w:rPr>
        <w:t>资产状况</w:t>
      </w:r>
      <w:r>
        <w:rPr>
          <w:rFonts w:hint="default" w:ascii="Times New Roman" w:hAnsi="Times New Roman" w:eastAsia="仿宋_GB2312" w:cs="Times New Roman"/>
          <w:sz w:val="32"/>
          <w:szCs w:val="32"/>
        </w:rPr>
        <w:t>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15、报关信息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16、外商投资企业基本情况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17、投资者信息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18、外商投资</w:t>
      </w:r>
      <w:r>
        <w:rPr>
          <w:rFonts w:hint="default" w:ascii="Times New Roman" w:hAnsi="Times New Roman" w:eastAsia="仿宋_GB2312" w:cs="Times New Roman"/>
          <w:b/>
          <w:sz w:val="32"/>
          <w:szCs w:val="32"/>
          <w:lang w:val="en-US" w:eastAsia="zh-CN"/>
        </w:rPr>
        <w:t>经营</w:t>
      </w:r>
      <w:r>
        <w:rPr>
          <w:rFonts w:hint="default" w:ascii="Times New Roman" w:hAnsi="Times New Roman" w:eastAsia="仿宋_GB2312" w:cs="Times New Roman"/>
          <w:b/>
          <w:sz w:val="32"/>
          <w:szCs w:val="32"/>
        </w:rPr>
        <w:t>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19、债券、债务情况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20、进口设备减免税情况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21、资产负债情况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42" w:firstLineChars="20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 xml:space="preserve">22、逾期尚未支付合同情况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第六步：预览并公示。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第七步：提交并公示。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2" w:firstLineChars="200"/>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第八步：结果查询。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常德市</w:t>
      </w:r>
      <w:r>
        <w:rPr>
          <w:rFonts w:hint="default" w:ascii="Times New Roman" w:hAnsi="Times New Roman" w:eastAsia="仿宋_GB2312" w:cs="Times New Roman"/>
          <w:color w:val="000000" w:themeColor="text1"/>
          <w:sz w:val="32"/>
          <w:szCs w:val="32"/>
          <w14:textFill>
            <w14:solidFill>
              <w14:schemeClr w14:val="tx1"/>
            </w14:solidFill>
          </w14:textFill>
        </w:rPr>
        <w:t>市场监管局：073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7223820</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武陵区市场监管局：0736-7719328</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鼎城区市场监管局：0736-7380837</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安乡县市场监管局：0736-4328012</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汉寿县市场监管局：0736-2860321</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澧县市场监管局：0736-3220559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临澧县市场监管局：0736-5809186</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桃源县市场监管局：0736-6622886</w:t>
      </w:r>
      <w:r>
        <w:rPr>
          <w:rFonts w:hint="default" w:ascii="Times New Roman" w:hAnsi="Times New Roman" w:eastAsia="仿宋_GB2312" w:cs="Times New Roman"/>
          <w:color w:val="000000" w:themeColor="text1"/>
          <w:sz w:val="32"/>
          <w:szCs w:val="32"/>
          <w14:textFill>
            <w14:solidFill>
              <w14:schemeClr w14:val="tx1"/>
            </w14:solidFill>
          </w14:textFill>
        </w:rPr>
        <w:tab/>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石门县市场监管局：0736-5322337</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津市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市场监管局：0736-4218793</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德山经济开发区市场监管局：0736-7328507</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西洞庭管理区市场监管局：0736-7508315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西湖管理</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区市场监管局：0736-2821009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柳叶湖旅游度假区市场监管局：0736-7129155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桃花源风景名胜区市场监管局：0736-7071117</w:t>
      </w: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1391F5C"/>
    <w:rsid w:val="0E4C1AB8"/>
    <w:rsid w:val="10E27038"/>
    <w:rsid w:val="196F4EFC"/>
    <w:rsid w:val="1DCD19F7"/>
    <w:rsid w:val="1E70574F"/>
    <w:rsid w:val="261603E2"/>
    <w:rsid w:val="292C7C55"/>
    <w:rsid w:val="294C70E0"/>
    <w:rsid w:val="2B6E1E8F"/>
    <w:rsid w:val="3E3FE4E7"/>
    <w:rsid w:val="3EA937DF"/>
    <w:rsid w:val="41B827F4"/>
    <w:rsid w:val="4DE81EE1"/>
    <w:rsid w:val="4FB5100E"/>
    <w:rsid w:val="59AE2032"/>
    <w:rsid w:val="59FBF081"/>
    <w:rsid w:val="61F6204C"/>
    <w:rsid w:val="6C7B2402"/>
    <w:rsid w:val="6DEB0B34"/>
    <w:rsid w:val="6E9D9FD3"/>
    <w:rsid w:val="75E7545F"/>
    <w:rsid w:val="7A11256C"/>
    <w:rsid w:val="7EA5885F"/>
    <w:rsid w:val="7ED7E246"/>
    <w:rsid w:val="7F7EC83E"/>
    <w:rsid w:val="7FEB5371"/>
    <w:rsid w:val="7FFF14B4"/>
    <w:rsid w:val="9EFF005D"/>
    <w:rsid w:val="AF7DD9F3"/>
    <w:rsid w:val="EEBC6301"/>
    <w:rsid w:val="F7FABD1A"/>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6133</Words>
  <Characters>6381</Characters>
  <Lines>43</Lines>
  <Paragraphs>12</Paragraphs>
  <TotalTime>147</TotalTime>
  <ScaleCrop>false</ScaleCrop>
  <LinksUpToDate>false</LinksUpToDate>
  <CharactersWithSpaces>6383</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2018-05-07T00:14:00Z</dcterms:created>
  <dc:creator>admin</dc:creator>
  <cp:lastModifiedBy>greatwall</cp:lastModifiedBy>
  <cp:lastPrinted>2024-12-27T09:04:00Z</cp:lastPrinted>
  <dcterms:modified xsi:type="dcterms:W3CDTF">2024-12-31T15:30:47Z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KSOTemplateDocerSaveRecord">
    <vt:lpwstr>eyJoZGlkIjoiZTkzMjYyYzBjY2Q3YjViZTVjODMxOTliNGJkMGZmNjciLCJ1c2VySWQiOiI0NDMyNDY0ODAifQ==</vt:lpwstr>
  </property>
  <property fmtid="{D5CDD505-2E9C-101B-9397-08002B2CF9AE}" pid="4" name="ICV">
    <vt:lpwstr>5CDA630F2FC74EB9B1DB2E7F0AD50DF3_12</vt:lpwstr>
  </property>
</Properties>
</file>